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09" w:rsidRPr="00552621" w:rsidRDefault="005C1C09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552621">
        <w:rPr>
          <w:rFonts w:ascii="Arial" w:hAnsi="Arial" w:cs="Arial"/>
          <w:sz w:val="16"/>
          <w:szCs w:val="16"/>
        </w:rPr>
        <w:t>Приложение №</w:t>
      </w:r>
      <w:r w:rsidR="00552621" w:rsidRPr="00552621">
        <w:rPr>
          <w:rFonts w:ascii="Arial" w:hAnsi="Arial" w:cs="Arial"/>
          <w:sz w:val="16"/>
          <w:szCs w:val="16"/>
        </w:rPr>
        <w:t>3</w:t>
      </w:r>
    </w:p>
    <w:p w:rsidR="005C1C09" w:rsidRPr="00552621" w:rsidRDefault="008640A1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552621">
        <w:rPr>
          <w:rFonts w:ascii="Arial" w:hAnsi="Arial" w:cs="Arial"/>
          <w:sz w:val="16"/>
          <w:szCs w:val="16"/>
        </w:rPr>
        <w:t>к</w:t>
      </w:r>
      <w:r w:rsidR="005C1C09" w:rsidRPr="00552621">
        <w:rPr>
          <w:rFonts w:ascii="Arial" w:hAnsi="Arial" w:cs="Arial"/>
          <w:sz w:val="16"/>
          <w:szCs w:val="16"/>
        </w:rPr>
        <w:t xml:space="preserve"> </w:t>
      </w:r>
      <w:r w:rsidRPr="00552621">
        <w:rPr>
          <w:rFonts w:ascii="Arial" w:hAnsi="Arial" w:cs="Arial"/>
          <w:sz w:val="16"/>
          <w:szCs w:val="16"/>
        </w:rPr>
        <w:t>Регламенту</w:t>
      </w:r>
      <w:r w:rsidR="005C1C09" w:rsidRPr="00552621">
        <w:rPr>
          <w:rFonts w:ascii="Arial" w:hAnsi="Arial" w:cs="Arial"/>
          <w:sz w:val="16"/>
          <w:szCs w:val="16"/>
        </w:rPr>
        <w:t xml:space="preserve"> доверительного управления ценными бумагами</w:t>
      </w:r>
    </w:p>
    <w:p w:rsidR="005C1C09" w:rsidRPr="00552621" w:rsidRDefault="005C1C09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552621">
        <w:rPr>
          <w:rFonts w:ascii="Arial" w:hAnsi="Arial" w:cs="Arial"/>
          <w:sz w:val="16"/>
          <w:szCs w:val="16"/>
        </w:rPr>
        <w:t xml:space="preserve"> и </w:t>
      </w:r>
      <w:proofErr w:type="gramStart"/>
      <w:r w:rsidRPr="00552621">
        <w:rPr>
          <w:rFonts w:ascii="Arial" w:hAnsi="Arial" w:cs="Arial"/>
          <w:sz w:val="16"/>
          <w:szCs w:val="16"/>
        </w:rPr>
        <w:t>средствами</w:t>
      </w:r>
      <w:proofErr w:type="gramEnd"/>
      <w:r w:rsidRPr="00552621">
        <w:rPr>
          <w:rFonts w:ascii="Arial" w:hAnsi="Arial" w:cs="Arial"/>
          <w:sz w:val="16"/>
          <w:szCs w:val="16"/>
        </w:rPr>
        <w:t xml:space="preserve"> инвестированными в ценные бумаги </w:t>
      </w:r>
    </w:p>
    <w:p w:rsidR="008640A1" w:rsidRPr="00552621" w:rsidRDefault="005C1C09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552621">
        <w:rPr>
          <w:rFonts w:ascii="Arial" w:hAnsi="Arial" w:cs="Arial"/>
          <w:sz w:val="16"/>
          <w:szCs w:val="16"/>
        </w:rPr>
        <w:t>и производные  финансовые инструменты</w:t>
      </w:r>
      <w:r w:rsidR="008640A1" w:rsidRPr="00552621">
        <w:rPr>
          <w:rFonts w:ascii="Arial" w:hAnsi="Arial" w:cs="Arial"/>
          <w:sz w:val="16"/>
          <w:szCs w:val="16"/>
        </w:rPr>
        <w:t xml:space="preserve"> </w:t>
      </w:r>
    </w:p>
    <w:p w:rsidR="005C1C09" w:rsidRPr="00552621" w:rsidRDefault="00437ECE" w:rsidP="00130FDE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8640A1" w:rsidRPr="00552621">
        <w:rPr>
          <w:rFonts w:ascii="Arial" w:hAnsi="Arial" w:cs="Arial"/>
          <w:sz w:val="16"/>
          <w:szCs w:val="16"/>
        </w:rPr>
        <w:t>АО «ИК РУСС-ИНВЕСТ»</w:t>
      </w:r>
    </w:p>
    <w:p w:rsidR="008640A1" w:rsidRPr="002D1B1F" w:rsidRDefault="008640A1" w:rsidP="008640A1">
      <w:pPr>
        <w:pStyle w:val="31"/>
        <w:ind w:firstLine="720"/>
        <w:jc w:val="center"/>
        <w:rPr>
          <w:rFonts w:ascii="Arial" w:hAnsi="Arial" w:cs="Arial"/>
          <w:b/>
          <w:bCs/>
          <w:sz w:val="22"/>
        </w:rPr>
      </w:pPr>
    </w:p>
    <w:p w:rsidR="008640A1" w:rsidRPr="002D1B1F" w:rsidRDefault="008640A1" w:rsidP="008640A1">
      <w:pPr>
        <w:pStyle w:val="31"/>
        <w:ind w:firstLine="720"/>
        <w:jc w:val="center"/>
        <w:rPr>
          <w:rFonts w:ascii="Arial" w:hAnsi="Arial" w:cs="Arial"/>
          <w:b/>
          <w:bCs/>
          <w:sz w:val="22"/>
        </w:rPr>
      </w:pPr>
    </w:p>
    <w:p w:rsidR="00E56E4B" w:rsidRDefault="008640A1" w:rsidP="008640A1">
      <w:pPr>
        <w:pStyle w:val="31"/>
        <w:ind w:firstLine="720"/>
        <w:jc w:val="center"/>
        <w:rPr>
          <w:rFonts w:ascii="Arial" w:hAnsi="Arial" w:cs="Arial"/>
          <w:b/>
          <w:bCs/>
          <w:sz w:val="22"/>
        </w:rPr>
      </w:pPr>
      <w:r w:rsidRPr="002D1B1F">
        <w:rPr>
          <w:rFonts w:ascii="Arial" w:hAnsi="Arial" w:cs="Arial"/>
          <w:b/>
          <w:bCs/>
          <w:sz w:val="22"/>
        </w:rPr>
        <w:t xml:space="preserve">Методика оценки стоимости </w:t>
      </w:r>
      <w:r w:rsidR="001E6EBD">
        <w:rPr>
          <w:rFonts w:ascii="Arial" w:hAnsi="Arial" w:cs="Arial"/>
          <w:b/>
          <w:bCs/>
          <w:sz w:val="22"/>
        </w:rPr>
        <w:t>О</w:t>
      </w:r>
      <w:r w:rsidRPr="002D1B1F">
        <w:rPr>
          <w:rFonts w:ascii="Arial" w:hAnsi="Arial" w:cs="Arial"/>
          <w:b/>
          <w:bCs/>
          <w:sz w:val="22"/>
        </w:rPr>
        <w:t xml:space="preserve">бъектов </w:t>
      </w:r>
      <w:r w:rsidR="00F4648B">
        <w:rPr>
          <w:rFonts w:ascii="Arial" w:hAnsi="Arial" w:cs="Arial"/>
          <w:b/>
          <w:bCs/>
          <w:sz w:val="22"/>
        </w:rPr>
        <w:t>д</w:t>
      </w:r>
      <w:r w:rsidRPr="002D1B1F">
        <w:rPr>
          <w:rFonts w:ascii="Arial" w:hAnsi="Arial" w:cs="Arial"/>
          <w:b/>
          <w:bCs/>
          <w:sz w:val="22"/>
        </w:rPr>
        <w:t>оверительного управления</w:t>
      </w:r>
    </w:p>
    <w:p w:rsidR="008640A1" w:rsidRPr="00E56E4B" w:rsidRDefault="0099670E" w:rsidP="008640A1">
      <w:pPr>
        <w:pStyle w:val="31"/>
        <w:ind w:firstLine="720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(Имущества</w:t>
      </w:r>
      <w:r w:rsidR="00E56E4B" w:rsidRPr="00E56E4B">
        <w:rPr>
          <w:rFonts w:ascii="Arial" w:hAnsi="Arial" w:cs="Arial"/>
          <w:bCs/>
          <w:sz w:val="22"/>
        </w:rPr>
        <w:t>)</w:t>
      </w:r>
    </w:p>
    <w:p w:rsidR="008640A1" w:rsidRPr="002D1B1F" w:rsidRDefault="008640A1" w:rsidP="008640A1">
      <w:pPr>
        <w:spacing w:before="60" w:after="0" w:line="240" w:lineRule="auto"/>
        <w:ind w:firstLine="709"/>
        <w:rPr>
          <w:rFonts w:ascii="Arial" w:eastAsia="Times New Roman" w:hAnsi="Arial" w:cs="Arial"/>
          <w:szCs w:val="24"/>
          <w:lang w:eastAsia="ru-RU"/>
        </w:rPr>
      </w:pPr>
    </w:p>
    <w:p w:rsidR="004A30C1" w:rsidRPr="004A30C1" w:rsidRDefault="004A30C1" w:rsidP="004A30C1">
      <w:pPr>
        <w:spacing w:before="60"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A30C1">
        <w:rPr>
          <w:rFonts w:ascii="Arial" w:eastAsia="Times New Roman" w:hAnsi="Arial" w:cs="Arial"/>
          <w:sz w:val="20"/>
          <w:szCs w:val="20"/>
          <w:lang w:eastAsia="ru-RU"/>
        </w:rPr>
        <w:t xml:space="preserve">Методика оценки стоимости объектов доверительного управления (далее  – Методика) разработана в соответствии с Положением Банка России от 03.08.2015 г. № 482-П «О единых требованиях к правилам осуществления деятельности по управлению ценными бумагами, к порядку раскрытия  управляющим информации, а также требованиях, направленных на исключение конфликта интересов управляющего». </w:t>
      </w:r>
    </w:p>
    <w:p w:rsidR="008640A1" w:rsidRPr="00975BCF" w:rsidRDefault="008640A1" w:rsidP="00975BCF">
      <w:pPr>
        <w:spacing w:before="60"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75BCF">
        <w:rPr>
          <w:rFonts w:ascii="Arial" w:eastAsia="Times New Roman" w:hAnsi="Arial" w:cs="Arial"/>
          <w:sz w:val="20"/>
          <w:szCs w:val="20"/>
          <w:lang w:eastAsia="ru-RU"/>
        </w:rPr>
        <w:t>Управляющий использует единую для всех учредителей Мето</w:t>
      </w:r>
      <w:r w:rsidR="001E6EBD">
        <w:rPr>
          <w:rFonts w:ascii="Arial" w:eastAsia="Times New Roman" w:hAnsi="Arial" w:cs="Arial"/>
          <w:sz w:val="20"/>
          <w:szCs w:val="20"/>
          <w:lang w:eastAsia="ru-RU"/>
        </w:rPr>
        <w:t>дику оценки стоимости Объектов д</w:t>
      </w:r>
      <w:r w:rsidRPr="00975BCF">
        <w:rPr>
          <w:rFonts w:ascii="Arial" w:eastAsia="Times New Roman" w:hAnsi="Arial" w:cs="Arial"/>
          <w:sz w:val="20"/>
          <w:szCs w:val="20"/>
          <w:lang w:eastAsia="ru-RU"/>
        </w:rPr>
        <w:t>оверительного управления.</w:t>
      </w:r>
    </w:p>
    <w:p w:rsidR="008640A1" w:rsidRPr="00975BCF" w:rsidRDefault="008640A1" w:rsidP="00975BCF">
      <w:pPr>
        <w:spacing w:before="60"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75BCF">
        <w:rPr>
          <w:rFonts w:ascii="Arial" w:eastAsia="Times New Roman" w:hAnsi="Arial" w:cs="Arial"/>
          <w:sz w:val="20"/>
          <w:szCs w:val="20"/>
          <w:lang w:eastAsia="ru-RU"/>
        </w:rPr>
        <w:t xml:space="preserve"> Оценка стоимости Объектов </w:t>
      </w:r>
      <w:r w:rsidR="001E6EBD">
        <w:rPr>
          <w:rFonts w:ascii="Arial" w:eastAsia="Times New Roman" w:hAnsi="Arial" w:cs="Arial"/>
          <w:sz w:val="20"/>
          <w:szCs w:val="20"/>
          <w:lang w:eastAsia="ru-RU"/>
        </w:rPr>
        <w:t>д</w:t>
      </w:r>
      <w:r w:rsidRPr="00975BCF">
        <w:rPr>
          <w:rFonts w:ascii="Arial" w:eastAsia="Times New Roman" w:hAnsi="Arial" w:cs="Arial"/>
          <w:sz w:val="20"/>
          <w:szCs w:val="20"/>
          <w:lang w:eastAsia="ru-RU"/>
        </w:rPr>
        <w:t xml:space="preserve">оверительного управления производится Управляющим при приеме Объектов </w:t>
      </w:r>
      <w:r w:rsidR="00E862D7">
        <w:rPr>
          <w:rFonts w:ascii="Arial" w:eastAsia="Times New Roman" w:hAnsi="Arial" w:cs="Arial"/>
          <w:sz w:val="20"/>
          <w:szCs w:val="20"/>
          <w:lang w:eastAsia="ru-RU"/>
        </w:rPr>
        <w:t>д</w:t>
      </w:r>
      <w:r w:rsidRPr="00975BCF">
        <w:rPr>
          <w:rFonts w:ascii="Arial" w:eastAsia="Times New Roman" w:hAnsi="Arial" w:cs="Arial"/>
          <w:sz w:val="20"/>
          <w:szCs w:val="20"/>
          <w:lang w:eastAsia="ru-RU"/>
        </w:rPr>
        <w:t>оверительного управления от Учредителя,  при указании оценочной стоимости Объект</w:t>
      </w:r>
      <w:r w:rsidR="00E862D7">
        <w:rPr>
          <w:rFonts w:ascii="Arial" w:eastAsia="Times New Roman" w:hAnsi="Arial" w:cs="Arial"/>
          <w:sz w:val="20"/>
          <w:szCs w:val="20"/>
          <w:lang w:eastAsia="ru-RU"/>
        </w:rPr>
        <w:t>ов д</w:t>
      </w:r>
      <w:r w:rsidR="00E56E4B">
        <w:rPr>
          <w:rFonts w:ascii="Arial" w:eastAsia="Times New Roman" w:hAnsi="Arial" w:cs="Arial"/>
          <w:sz w:val="20"/>
          <w:szCs w:val="20"/>
          <w:lang w:eastAsia="ru-RU"/>
        </w:rPr>
        <w:t>оверительного управления в О</w:t>
      </w:r>
      <w:r w:rsidRPr="00975BCF">
        <w:rPr>
          <w:rFonts w:ascii="Arial" w:eastAsia="Times New Roman" w:hAnsi="Arial" w:cs="Arial"/>
          <w:sz w:val="20"/>
          <w:szCs w:val="20"/>
          <w:lang w:eastAsia="ru-RU"/>
        </w:rPr>
        <w:t>тчете о деятельности Управляющего, а также при расчете вознаграждения Управляющего.</w:t>
      </w:r>
    </w:p>
    <w:p w:rsidR="00367A9A" w:rsidRPr="002D1B1F" w:rsidRDefault="00367A9A" w:rsidP="00975BCF">
      <w:pPr>
        <w:pStyle w:val="a8"/>
        <w:numPr>
          <w:ilvl w:val="0"/>
          <w:numId w:val="1"/>
        </w:numPr>
        <w:ind w:left="0" w:firstLine="0"/>
        <w:rPr>
          <w:rFonts w:cs="Arial"/>
          <w:color w:val="000000"/>
        </w:rPr>
      </w:pPr>
      <w:r w:rsidRPr="002D1B1F">
        <w:rPr>
          <w:rFonts w:cs="Arial"/>
          <w:color w:val="000000"/>
        </w:rPr>
        <w:t>Оценочная стоимость передаваемого в управление имущества для целей определения дохода от управления рассчитывается как сумма денежных средств и оценочной стоимости ценных бумаг, составляющих имущество, переданное в управление, на дату передачи.</w:t>
      </w:r>
    </w:p>
    <w:p w:rsidR="00367A9A" w:rsidRPr="002D1B1F" w:rsidRDefault="00367A9A" w:rsidP="00975BCF">
      <w:pPr>
        <w:pStyle w:val="a8"/>
        <w:numPr>
          <w:ilvl w:val="0"/>
          <w:numId w:val="1"/>
        </w:numPr>
        <w:ind w:left="0" w:firstLine="0"/>
        <w:rPr>
          <w:rFonts w:cs="Arial"/>
          <w:color w:val="000000"/>
        </w:rPr>
      </w:pPr>
      <w:r w:rsidRPr="002D1B1F">
        <w:rPr>
          <w:rFonts w:cs="Arial"/>
          <w:color w:val="000000"/>
        </w:rPr>
        <w:t>Оценочная стоимость возвращаемого из управления имущества для целей определения дохода рассчитывается как сумма денежных средств и оценочной стоимости ценных бумаг, составляющих возвращаемое имущество, на дату передачи.</w:t>
      </w:r>
    </w:p>
    <w:p w:rsidR="00367A9A" w:rsidRPr="002D1B1F" w:rsidRDefault="00367A9A" w:rsidP="00975BCF">
      <w:pPr>
        <w:pStyle w:val="a8"/>
        <w:numPr>
          <w:ilvl w:val="0"/>
          <w:numId w:val="1"/>
        </w:numPr>
        <w:ind w:left="0" w:firstLine="0"/>
        <w:rPr>
          <w:rFonts w:cs="Arial"/>
          <w:color w:val="000000"/>
        </w:rPr>
      </w:pPr>
      <w:r w:rsidRPr="002D1B1F">
        <w:rPr>
          <w:rFonts w:cs="Arial"/>
          <w:color w:val="000000"/>
        </w:rPr>
        <w:t xml:space="preserve">Оценочная стоимость находящегося в </w:t>
      </w:r>
      <w:proofErr w:type="gramStart"/>
      <w:r w:rsidRPr="002D1B1F">
        <w:rPr>
          <w:rFonts w:cs="Arial"/>
          <w:color w:val="000000"/>
        </w:rPr>
        <w:t>управлении</w:t>
      </w:r>
      <w:proofErr w:type="gramEnd"/>
      <w:r w:rsidRPr="002D1B1F">
        <w:rPr>
          <w:rFonts w:cs="Arial"/>
          <w:color w:val="000000"/>
        </w:rPr>
        <w:t xml:space="preserve"> имущества в целях определения дохода от управления рассчитывается как сумма денежных средств</w:t>
      </w:r>
      <w:r w:rsidR="00CE6E40">
        <w:rPr>
          <w:rFonts w:cs="Arial"/>
          <w:color w:val="000000"/>
        </w:rPr>
        <w:t xml:space="preserve"> </w:t>
      </w:r>
      <w:r w:rsidRPr="002D1B1F">
        <w:rPr>
          <w:rFonts w:cs="Arial"/>
          <w:color w:val="000000"/>
        </w:rPr>
        <w:t>и оценочной стоимости ценных бумаг, составляющих имущество, на Отчетную дату.</w:t>
      </w:r>
    </w:p>
    <w:p w:rsidR="00367A9A" w:rsidRPr="002D1B1F" w:rsidRDefault="00367A9A" w:rsidP="00975BCF">
      <w:pPr>
        <w:pStyle w:val="a8"/>
        <w:numPr>
          <w:ilvl w:val="0"/>
          <w:numId w:val="1"/>
        </w:numPr>
        <w:ind w:left="0" w:firstLine="0"/>
        <w:rPr>
          <w:rFonts w:cs="Arial"/>
          <w:color w:val="000000"/>
        </w:rPr>
      </w:pPr>
      <w:r w:rsidRPr="002D1B1F">
        <w:rPr>
          <w:rFonts w:cs="Arial"/>
          <w:color w:val="000000"/>
        </w:rPr>
        <w:t>В случае если в течение Отчетного периода, за который рассчитывается доход, в состав имущества, находящегося в управлении, дополнительно передавалось имущество, то для целей определения дохода оценочная стоимость имущества на Отчетную дату уменьшается на оценочную стоимость дополнительно переданного имущества.</w:t>
      </w:r>
    </w:p>
    <w:p w:rsidR="00367A9A" w:rsidRPr="002D1B1F" w:rsidRDefault="00367A9A" w:rsidP="00975BCF">
      <w:pPr>
        <w:pStyle w:val="a8"/>
        <w:numPr>
          <w:ilvl w:val="0"/>
          <w:numId w:val="1"/>
        </w:numPr>
        <w:ind w:left="0" w:firstLine="0"/>
        <w:rPr>
          <w:rFonts w:cs="Arial"/>
          <w:color w:val="000000"/>
        </w:rPr>
      </w:pPr>
      <w:r w:rsidRPr="002D1B1F">
        <w:rPr>
          <w:rFonts w:cs="Arial"/>
          <w:color w:val="000000"/>
        </w:rPr>
        <w:t>В случае если в течение Отчетного периода часть имущества возвращалась из управления, то для целей определения дохода, оценочная стоимость имущества на Отчетную дату увеличивается на оценочную стоимость возвращенного из управления имущества.</w:t>
      </w:r>
    </w:p>
    <w:p w:rsidR="00367A9A" w:rsidRPr="002D1B1F" w:rsidRDefault="00367A9A" w:rsidP="00975BCF">
      <w:pPr>
        <w:pStyle w:val="a8"/>
        <w:numPr>
          <w:ilvl w:val="0"/>
          <w:numId w:val="1"/>
        </w:numPr>
        <w:ind w:left="0" w:firstLine="0"/>
        <w:rPr>
          <w:rFonts w:cs="Arial"/>
          <w:color w:val="000000"/>
        </w:rPr>
      </w:pPr>
      <w:r w:rsidRPr="002D1B1F">
        <w:rPr>
          <w:rFonts w:cs="Arial"/>
          <w:color w:val="000000"/>
        </w:rPr>
        <w:t xml:space="preserve">Доход от </w:t>
      </w:r>
      <w:r w:rsidRPr="00E85D52">
        <w:rPr>
          <w:rFonts w:cs="Arial"/>
          <w:color w:val="000000"/>
        </w:rPr>
        <w:t xml:space="preserve">управления имуществом, рассчитывается на Отчетную дату как разница между оценочной стоимостью имущества </w:t>
      </w:r>
      <w:r w:rsidR="00C87B11" w:rsidRPr="00E85D52">
        <w:rPr>
          <w:rFonts w:cs="Arial"/>
          <w:color w:val="000000"/>
        </w:rPr>
        <w:t>на Отчетную дату и оценочной стоимостью имущества на предшествующую Отчетную дату, с учетом положений</w:t>
      </w:r>
      <w:r w:rsidRPr="002D1B1F">
        <w:rPr>
          <w:rFonts w:cs="Arial"/>
          <w:color w:val="000000"/>
        </w:rPr>
        <w:t xml:space="preserve"> п.4.и 5. Методики.</w:t>
      </w:r>
    </w:p>
    <w:p w:rsidR="00194A8A" w:rsidRPr="002D1B1F" w:rsidRDefault="00367A9A" w:rsidP="00975BCF">
      <w:pPr>
        <w:pStyle w:val="a8"/>
        <w:numPr>
          <w:ilvl w:val="0"/>
          <w:numId w:val="1"/>
        </w:numPr>
        <w:ind w:left="0" w:firstLine="0"/>
        <w:rPr>
          <w:rFonts w:cs="Arial"/>
          <w:color w:val="000000"/>
        </w:rPr>
      </w:pPr>
      <w:r w:rsidRPr="002D1B1F">
        <w:rPr>
          <w:rFonts w:cs="Arial"/>
          <w:color w:val="000000"/>
        </w:rPr>
        <w:t xml:space="preserve">Стороны устанавливают следующую методику оценки </w:t>
      </w:r>
      <w:r w:rsidR="00666A42">
        <w:rPr>
          <w:rFonts w:cs="Arial"/>
          <w:color w:val="000000"/>
        </w:rPr>
        <w:t>имущества</w:t>
      </w:r>
      <w:r w:rsidRPr="002D1B1F">
        <w:rPr>
          <w:rFonts w:cs="Arial"/>
          <w:color w:val="000000"/>
        </w:rPr>
        <w:t xml:space="preserve"> Учредителя при приеме их в управление от Учредителя и при указании в Отчете.</w:t>
      </w:r>
    </w:p>
    <w:p w:rsidR="00194A8A" w:rsidRPr="002D1B1F" w:rsidRDefault="00367A9A" w:rsidP="00666A42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Оценочная стоимость имущества, передаваемого в управление, рассчитывается как сумма денежных средств и оценочной стоимости ценных бумаг, определяемая передающей Стороной на дату передачи, включая дату передачи. Имущество передается в управление по оценочной стоимости.</w:t>
      </w:r>
    </w:p>
    <w:p w:rsidR="00194A8A" w:rsidRPr="00E85D52" w:rsidRDefault="00C87B11" w:rsidP="00666A42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5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Оценочная стоимость имущества, возвращаемого из управления, рассчитывается как сумма денежных средств,  оценочной стоимости ценных бумаг, составляющих возвращаемое Имущество, определяемая передающей Стороной на дату передачи, включая дату передачи, с учетом существующих обязательств по Договору.</w:t>
      </w:r>
    </w:p>
    <w:p w:rsidR="00194A8A" w:rsidRPr="002D1B1F" w:rsidRDefault="00194A8A" w:rsidP="00666A42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Оценочная стоимость ценных бумаг</w:t>
      </w:r>
      <w:r w:rsidR="00666A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производных финансовых инструментов</w:t>
      </w:r>
      <w:r w:rsidR="00E862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находящихся в управлении, указываемая в Отчете о доверительном управлении, определяется в следующем порядке:</w:t>
      </w:r>
    </w:p>
    <w:p w:rsidR="00194A8A" w:rsidRPr="002D1B1F" w:rsidRDefault="00194A8A" w:rsidP="00194A8A">
      <w:pPr>
        <w:pStyle w:val="a3"/>
        <w:widowControl w:val="0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94A8A" w:rsidRPr="002D1B1F" w:rsidRDefault="00194A8A" w:rsidP="00666A42">
      <w:pPr>
        <w:pStyle w:val="a3"/>
        <w:numPr>
          <w:ilvl w:val="2"/>
          <w:numId w:val="9"/>
        </w:numPr>
        <w:autoSpaceDE w:val="0"/>
        <w:autoSpaceDN w:val="0"/>
        <w:adjustRightInd w:val="0"/>
        <w:spacing w:before="120" w:after="0" w:line="240" w:lineRule="auto"/>
        <w:ind w:left="1276" w:hanging="709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6CA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для акций</w:t>
      </w:r>
      <w:r w:rsidR="007F11C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, обращающихся на </w:t>
      </w:r>
      <w:r w:rsidR="001B4786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ПАО Московская Биржа 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</w:t>
      </w:r>
      <w:r w:rsidR="00F024B7"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рыночной цене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F024B7"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определяемой по результатам торгов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6F0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Московская Биржа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; </w:t>
      </w:r>
    </w:p>
    <w:p w:rsidR="00F024B7" w:rsidRPr="002D1B1F" w:rsidRDefault="00194A8A" w:rsidP="00666A42">
      <w:pPr>
        <w:pStyle w:val="a3"/>
        <w:autoSpaceDE w:val="0"/>
        <w:autoSpaceDN w:val="0"/>
        <w:adjustRightInd w:val="0"/>
        <w:spacing w:before="120" w:after="0" w:line="240" w:lineRule="auto"/>
        <w:ind w:left="1276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Если на дату определения оценочной стоимости ценной бумаги рыночная цена </w:t>
      </w:r>
      <w:r w:rsidR="001B47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Московская Биржа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рассчитана, то оценочной стоимостью ценной бумаги является 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последняя рассчитанная рыночная цена на </w:t>
      </w:r>
      <w:r w:rsidR="001B47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Московская Биржа</w:t>
      </w:r>
      <w:proofErr w:type="gramStart"/>
      <w:r w:rsidR="001B47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Если на </w:t>
      </w:r>
      <w:r w:rsidR="001B47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Московская Биржа</w:t>
      </w:r>
      <w:r w:rsidR="001B4786"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B47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рыночная цена не рассчитана ни на одну из дат, то стоимость ценной бумаги определяется по ее балансовой стоимости</w:t>
      </w:r>
      <w:r w:rsidR="00D108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024B7"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(цене приобретения). В случае отсутствия балансовой стоимости (цены приобретения) ценные бумаги оцениваются наиболее справедливым образом на основании всей доступной Управляющему информации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666A42" w:rsidRDefault="00194A8A" w:rsidP="00666A42">
      <w:pPr>
        <w:pStyle w:val="a3"/>
        <w:numPr>
          <w:ilvl w:val="2"/>
          <w:numId w:val="9"/>
        </w:numPr>
        <w:autoSpaceDE w:val="0"/>
        <w:autoSpaceDN w:val="0"/>
        <w:adjustRightInd w:val="0"/>
        <w:spacing w:before="120" w:after="0" w:line="240" w:lineRule="auto"/>
        <w:ind w:left="1276" w:hanging="709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6CA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для облигаций</w:t>
      </w:r>
      <w:r w:rsidR="007F11C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, обращающихся на </w:t>
      </w:r>
      <w:r w:rsidR="00C92FA6" w:rsidRPr="00C92FA6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ПАО Московская Биржа</w:t>
      </w:r>
      <w:r w:rsidR="001B4786"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B47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по рыночной цене, опред</w:t>
      </w:r>
      <w:r w:rsidR="00666A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еляемой в порядке</w:t>
      </w:r>
      <w:r w:rsidR="00C92F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уставленном в п.7.3.1 Методики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 увеличенной на величину накопленного купонного дохода, рассчитанную на дату определения рыночной стоимости, исходя из купонной ставки по соответствующему выпуску облигации, установле</w:t>
      </w:r>
      <w:r w:rsidR="00666A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нной на текущий купонный период.</w:t>
      </w:r>
    </w:p>
    <w:p w:rsidR="004A30C1" w:rsidRDefault="00F024B7" w:rsidP="004A30C1">
      <w:pPr>
        <w:pStyle w:val="a3"/>
        <w:autoSpaceDE w:val="0"/>
        <w:autoSpaceDN w:val="0"/>
        <w:adjustRightInd w:val="0"/>
        <w:spacing w:before="120" w:after="0" w:line="240" w:lineRule="auto"/>
        <w:ind w:left="1276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5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Рыночная стоимость облигаций, срок погашения которых наступил, признается равной: номинальной стоимости облигаций - до момента поступления денежных средств в счет их погашения в состав </w:t>
      </w:r>
      <w:r w:rsidR="00E862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имущества</w:t>
      </w:r>
      <w:r w:rsidRPr="00975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нулю - с момента поступления денежных средств в счет их погашения в состав </w:t>
      </w:r>
      <w:r w:rsidR="00E862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имущества</w:t>
      </w:r>
      <w:r w:rsidRPr="00975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4A30C1" w:rsidRPr="004A30C1" w:rsidRDefault="004A30C1" w:rsidP="004A30C1">
      <w:pPr>
        <w:pStyle w:val="a3"/>
        <w:autoSpaceDE w:val="0"/>
        <w:autoSpaceDN w:val="0"/>
        <w:adjustRightInd w:val="0"/>
        <w:spacing w:before="120" w:after="0" w:line="240" w:lineRule="auto"/>
        <w:ind w:left="1276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30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случае опубликования в соответствии с законодательством Российской Федерации сведений о признании эмитента облигаций банкротом оценочная стоимость облигаций такого эмитента </w:t>
      </w:r>
      <w:proofErr w:type="gramStart"/>
      <w:r w:rsidRPr="004A30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даты опубликования</w:t>
      </w:r>
      <w:proofErr w:type="gramEnd"/>
      <w:r w:rsidRPr="004A30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указанных сведений признается равной нулю.</w:t>
      </w:r>
    </w:p>
    <w:p w:rsidR="008D7D3D" w:rsidRPr="002D1B1F" w:rsidRDefault="008D7D3D" w:rsidP="00666A42">
      <w:pPr>
        <w:pStyle w:val="a3"/>
        <w:numPr>
          <w:ilvl w:val="2"/>
          <w:numId w:val="9"/>
        </w:numPr>
        <w:autoSpaceDE w:val="0"/>
        <w:autoSpaceDN w:val="0"/>
        <w:adjustRightInd w:val="0"/>
        <w:spacing w:before="120" w:after="0" w:line="240" w:lineRule="auto"/>
        <w:ind w:left="1276" w:hanging="709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76CA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Рыночная стоимость </w:t>
      </w:r>
      <w:r w:rsidR="007F11C3" w:rsidRPr="00576CA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иностранных </w:t>
      </w:r>
      <w:r w:rsidRPr="00576CA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акций и облигаций, прошедших процедуру листинга на иностранной фондовой бирже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признается равной цене закрытия рынка указанных ценных бумаг по итогам последнего торгового дня на указанной фондовой бирже на дату определения их рыночной стоимости, а в случае, если указанные ценные бумаги прошли процедуру листинга на двух или более иностранных фондовых биржах, - по итогам последнего торгового дня на иностранной</w:t>
      </w:r>
      <w:proofErr w:type="gramEnd"/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фондовой бирже, на которой была приобретена первая по времени партия указанных ценных бумаг.</w:t>
      </w:r>
    </w:p>
    <w:p w:rsidR="002D1B1F" w:rsidRPr="002D1B1F" w:rsidRDefault="002D1B1F" w:rsidP="00666A42">
      <w:pPr>
        <w:pStyle w:val="a3"/>
        <w:numPr>
          <w:ilvl w:val="2"/>
          <w:numId w:val="9"/>
        </w:numPr>
        <w:autoSpaceDE w:val="0"/>
        <w:autoSpaceDN w:val="0"/>
        <w:adjustRightInd w:val="0"/>
        <w:spacing w:before="120" w:after="0" w:line="240" w:lineRule="auto"/>
        <w:ind w:left="1276" w:hanging="709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6CA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Оценочная стоимость финансовых инструментов по </w:t>
      </w:r>
      <w:proofErr w:type="spellStart"/>
      <w:r w:rsidRPr="00576CA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маржируемым</w:t>
      </w:r>
      <w:proofErr w:type="spellEnd"/>
      <w:r w:rsidRPr="00576CA1">
        <w:rPr>
          <w:rFonts w:ascii="Arial" w:eastAsia="Times New Roman" w:hAnsi="Arial" w:cs="Arial"/>
          <w:i/>
          <w:color w:val="000000"/>
          <w:sz w:val="20"/>
          <w:szCs w:val="20"/>
          <w:vertAlign w:val="superscript"/>
          <w:lang w:eastAsia="ru-RU"/>
        </w:rPr>
        <w:footnoteReference w:id="1"/>
      </w:r>
      <w:r w:rsidRPr="00576CA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фьючерсным и опционным договорам</w:t>
      </w:r>
      <w:r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(контрактам) признается равной сумме денежных средств, иностранной валюты и стоимости ценных бумаг, которые предоставлены в распоряжение клирингового центра в обеспечение исполнения обязательств по указанным контрактам. </w:t>
      </w:r>
    </w:p>
    <w:p w:rsidR="00576CA1" w:rsidRDefault="00576CA1" w:rsidP="00576CA1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6C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определении стоимости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имущества</w:t>
      </w:r>
      <w:r w:rsidRPr="00576C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учитываются незавершенные сделки РЕПО.</w:t>
      </w:r>
    </w:p>
    <w:p w:rsidR="00233243" w:rsidRPr="00233243" w:rsidRDefault="00233243" w:rsidP="00233243">
      <w:pPr>
        <w:pStyle w:val="a3"/>
        <w:widowControl w:val="0"/>
        <w:autoSpaceDE w:val="0"/>
        <w:autoSpaceDN w:val="0"/>
        <w:adjustRightInd w:val="0"/>
        <w:spacing w:before="120" w:after="0" w:line="240" w:lineRule="auto"/>
        <w:ind w:left="425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32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Оценка ценных бумаг, приобретенных по первой части сделки РЕПО, производится по цене приобретения.</w:t>
      </w:r>
    </w:p>
    <w:p w:rsidR="00975BCF" w:rsidRPr="00576CA1" w:rsidRDefault="00975BCF" w:rsidP="00576CA1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6C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Сумма денежных средств на счетах и во вкладах принимается в расчет по их номинальной стоимости.</w:t>
      </w:r>
    </w:p>
    <w:p w:rsidR="00194A8A" w:rsidRPr="002D1B1F" w:rsidRDefault="00E33180" w:rsidP="00576CA1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194A8A" w:rsidRPr="002D1B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 списании ценных бумаг, входящих в состав имущества Учредителя управления, используется способ ФИФО (по первоначальной стоимости первых по времени приобретения ценных бумаг).</w:t>
      </w:r>
    </w:p>
    <w:p w:rsidR="00381C95" w:rsidRPr="00381C95" w:rsidRDefault="00381C95" w:rsidP="00381C95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C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Денежные средства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оцениваются в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рублях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номиналу.</w:t>
      </w:r>
    </w:p>
    <w:p w:rsidR="00975BCF" w:rsidRPr="00576CA1" w:rsidRDefault="00975BCF" w:rsidP="00576CA1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6C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Выраженные в иностранной валюте активы, а также обязательства принимаются в расчет </w:t>
      </w:r>
      <w:r w:rsidR="00381C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имущества</w:t>
      </w:r>
      <w:r w:rsidRPr="00576C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курсу Центрального банка Российской Федерации на момент определения стоимости </w:t>
      </w:r>
      <w:r w:rsidR="00A216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имущества</w:t>
      </w:r>
      <w:r w:rsidR="00A216A1" w:rsidRPr="00576C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76C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 величины обязательств.</w:t>
      </w:r>
    </w:p>
    <w:p w:rsidR="00975BCF" w:rsidRPr="00576CA1" w:rsidRDefault="00975BCF" w:rsidP="00576CA1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6C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Величина </w:t>
      </w:r>
      <w:proofErr w:type="gramStart"/>
      <w:r w:rsidRPr="00576C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обязательств, подлежащих исполнению за счет </w:t>
      </w:r>
      <w:r w:rsidR="00381C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имущества Учредителя управления</w:t>
      </w:r>
      <w:r w:rsidRPr="00576C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считается</w:t>
      </w:r>
      <w:proofErr w:type="gramEnd"/>
      <w:r w:rsidRPr="00576C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равной сумме задолженности на дату формирования отчета о деятельности Управляющего.</w:t>
      </w:r>
    </w:p>
    <w:sectPr w:rsidR="00975BCF" w:rsidRPr="00576CA1" w:rsidSect="00A84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7" w:right="707" w:bottom="1134" w:left="1134" w:header="284" w:footer="2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1C3" w:rsidRDefault="007F11C3" w:rsidP="00B918A6">
      <w:pPr>
        <w:spacing w:after="0" w:line="240" w:lineRule="auto"/>
      </w:pPr>
      <w:r>
        <w:separator/>
      </w:r>
    </w:p>
  </w:endnote>
  <w:endnote w:type="continuationSeparator" w:id="0">
    <w:p w:rsidR="007F11C3" w:rsidRDefault="007F11C3" w:rsidP="00B9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CE" w:rsidRDefault="00437EC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266369820"/>
      <w:docPartObj>
        <w:docPartGallery w:val="Page Numbers (Bottom of Page)"/>
        <w:docPartUnique/>
      </w:docPartObj>
    </w:sdtPr>
    <w:sdtContent>
      <w:p w:rsidR="007F11C3" w:rsidRPr="008B7B03" w:rsidRDefault="00C92FA6" w:rsidP="008B7B03">
        <w:pPr>
          <w:pStyle w:val="a6"/>
          <w:jc w:val="center"/>
          <w:rPr>
            <w:i/>
          </w:rPr>
        </w:pPr>
        <w:r w:rsidRPr="00C92FA6">
          <w:rPr>
            <w:rFonts w:ascii="Arial" w:hAnsi="Arial" w:cs="Arial"/>
            <w:i/>
            <w:noProof/>
            <w:color w:val="000000"/>
            <w:sz w:val="16"/>
            <w:szCs w:val="28"/>
            <w:lang w:eastAsia="ru-R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left:0;text-align:left;margin-left:-4.95pt;margin-top:3.25pt;width:7in;height:.05pt;z-index:251658240;mso-position-horizontal-relative:text;mso-position-vertical-relative:text" o:connectortype="straight"/>
          </w:pict>
        </w:r>
        <w:r w:rsidR="007F11C3" w:rsidRPr="001D5193">
          <w:rPr>
            <w:rFonts w:ascii="Arial" w:hAnsi="Arial" w:cs="Arial"/>
            <w:i/>
            <w:color w:val="000000"/>
            <w:sz w:val="16"/>
            <w:szCs w:val="28"/>
          </w:rPr>
          <w:t xml:space="preserve">Регламент </w:t>
        </w:r>
        <w:r w:rsidR="007F11C3" w:rsidRPr="001D5193">
          <w:rPr>
            <w:rFonts w:ascii="Arial" w:hAnsi="Arial" w:cs="Arial"/>
            <w:i/>
            <w:sz w:val="16"/>
          </w:rPr>
          <w:t xml:space="preserve">доверительного управления ценными бумагами и средствами инвестирования в ценные бумаги  и производные финансовые инструменты </w:t>
        </w:r>
        <w:r w:rsidR="00437ECE">
          <w:rPr>
            <w:rFonts w:ascii="Arial" w:hAnsi="Arial" w:cs="Arial"/>
            <w:i/>
            <w:sz w:val="16"/>
          </w:rPr>
          <w:t>П</w:t>
        </w:r>
        <w:r w:rsidR="007F11C3" w:rsidRPr="001D5193">
          <w:rPr>
            <w:rFonts w:ascii="Arial" w:hAnsi="Arial" w:cs="Arial"/>
            <w:i/>
            <w:sz w:val="16"/>
          </w:rPr>
          <w:t>АО «ИК РУСС-ИНВЕСТ»</w:t>
        </w:r>
        <w:r w:rsidR="007F11C3" w:rsidRPr="008B7B03">
          <w:rPr>
            <w:i/>
          </w:rPr>
          <w:t xml:space="preserve"> </w:t>
        </w:r>
      </w:p>
    </w:sdtContent>
  </w:sdt>
  <w:p w:rsidR="007F11C3" w:rsidRDefault="00C92FA6" w:rsidP="008B7B03">
    <w:pPr>
      <w:pStyle w:val="a6"/>
      <w:jc w:val="right"/>
    </w:pPr>
    <w:r>
      <w:fldChar w:fldCharType="begin"/>
    </w:r>
    <w:r w:rsidR="001F145C">
      <w:instrText xml:space="preserve"> PAGE   \* MERGEFORMAT </w:instrText>
    </w:r>
    <w:r>
      <w:fldChar w:fldCharType="separate"/>
    </w:r>
    <w:r w:rsidR="00396C93">
      <w:rPr>
        <w:noProof/>
      </w:rPr>
      <w:t>2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CE" w:rsidRDefault="00437EC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1C3" w:rsidRDefault="007F11C3" w:rsidP="00B918A6">
      <w:pPr>
        <w:spacing w:after="0" w:line="240" w:lineRule="auto"/>
      </w:pPr>
      <w:r>
        <w:separator/>
      </w:r>
    </w:p>
  </w:footnote>
  <w:footnote w:type="continuationSeparator" w:id="0">
    <w:p w:rsidR="007F11C3" w:rsidRDefault="007F11C3" w:rsidP="00B918A6">
      <w:pPr>
        <w:spacing w:after="0" w:line="240" w:lineRule="auto"/>
      </w:pPr>
      <w:r>
        <w:continuationSeparator/>
      </w:r>
    </w:p>
  </w:footnote>
  <w:footnote w:id="1">
    <w:p w:rsidR="007F11C3" w:rsidRPr="00656BDC" w:rsidRDefault="007F11C3" w:rsidP="00576CA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sz w:val="16"/>
          <w:szCs w:val="16"/>
        </w:rPr>
      </w:pPr>
      <w:r w:rsidRPr="00656BDC">
        <w:rPr>
          <w:rStyle w:val="ac"/>
        </w:rPr>
        <w:footnoteRef/>
      </w:r>
      <w:r w:rsidRPr="00656BDC">
        <w:t xml:space="preserve"> </w:t>
      </w:r>
      <w:r w:rsidRPr="00656BDC">
        <w:rPr>
          <w:sz w:val="16"/>
          <w:szCs w:val="16"/>
        </w:rPr>
        <w:t xml:space="preserve">Под </w:t>
      </w:r>
      <w:proofErr w:type="spellStart"/>
      <w:r w:rsidRPr="00656BDC">
        <w:rPr>
          <w:sz w:val="16"/>
          <w:szCs w:val="16"/>
        </w:rPr>
        <w:t>маржируемыми</w:t>
      </w:r>
      <w:proofErr w:type="spellEnd"/>
      <w:r w:rsidRPr="00656BDC">
        <w:rPr>
          <w:sz w:val="16"/>
          <w:szCs w:val="16"/>
        </w:rPr>
        <w:t xml:space="preserve"> срочными  договорами (контрактами) в целях настоящей Методики понимаются срочные договоры (контракты), предусматривающие уплату стороной (сторонами) вариационной маржи.</w:t>
      </w:r>
    </w:p>
    <w:p w:rsidR="007F11C3" w:rsidRPr="00656BDC" w:rsidRDefault="007F11C3" w:rsidP="00576CA1">
      <w:pPr>
        <w:pStyle w:val="aa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CE" w:rsidRDefault="00437EC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1C3" w:rsidRPr="008B7B03" w:rsidRDefault="007F11C3" w:rsidP="00B918A6">
    <w:pPr>
      <w:pStyle w:val="a8"/>
      <w:pBdr>
        <w:bottom w:val="single" w:sz="4" w:space="0" w:color="auto"/>
      </w:pBdr>
      <w:jc w:val="center"/>
      <w:rPr>
        <w:i/>
        <w:sz w:val="16"/>
      </w:rPr>
    </w:pPr>
    <w:r>
      <w:tab/>
    </w:r>
    <w:r w:rsidR="00437ECE">
      <w:rPr>
        <w:i/>
        <w:sz w:val="16"/>
      </w:rPr>
      <w:t xml:space="preserve">Публичное </w:t>
    </w:r>
    <w:r w:rsidR="00437ECE" w:rsidRPr="008B7B03">
      <w:rPr>
        <w:i/>
        <w:sz w:val="16"/>
      </w:rPr>
      <w:t xml:space="preserve"> </w:t>
    </w:r>
    <w:r w:rsidRPr="008B7B03">
      <w:rPr>
        <w:i/>
        <w:sz w:val="16"/>
      </w:rPr>
      <w:t>акционерное общество «ИНВЕСТИЦИОННАЯ КОМПАНИЯ ИК РУСС-ИНВЕСТ»</w:t>
    </w:r>
    <w:bookmarkStart w:id="0" w:name="OLE_LINK13"/>
    <w:bookmarkStart w:id="1" w:name="OLE_LINK14"/>
    <w:bookmarkEnd w:id="0"/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CE" w:rsidRDefault="00437EC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1850"/>
    <w:multiLevelType w:val="hybridMultilevel"/>
    <w:tmpl w:val="16E25E0A"/>
    <w:lvl w:ilvl="0" w:tplc="2BE8A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841D7"/>
    <w:multiLevelType w:val="hybridMultilevel"/>
    <w:tmpl w:val="ADC2599E"/>
    <w:lvl w:ilvl="0" w:tplc="296465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C55D41"/>
    <w:multiLevelType w:val="multilevel"/>
    <w:tmpl w:val="C6B48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3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F8A4A10"/>
    <w:multiLevelType w:val="hybridMultilevel"/>
    <w:tmpl w:val="016CF6E2"/>
    <w:lvl w:ilvl="0" w:tplc="51B63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DE20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596E1C"/>
    <w:multiLevelType w:val="multilevel"/>
    <w:tmpl w:val="D66EF8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59253813"/>
    <w:multiLevelType w:val="hybridMultilevel"/>
    <w:tmpl w:val="20804C0C"/>
    <w:lvl w:ilvl="0" w:tplc="8654C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3FC0ED0"/>
    <w:multiLevelType w:val="hybridMultilevel"/>
    <w:tmpl w:val="C44C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36272"/>
    <w:multiLevelType w:val="hybridMultilevel"/>
    <w:tmpl w:val="163C840A"/>
    <w:lvl w:ilvl="0" w:tplc="ABAC5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F77B7"/>
    <w:multiLevelType w:val="multilevel"/>
    <w:tmpl w:val="05F872BE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6E13156A"/>
    <w:multiLevelType w:val="hybridMultilevel"/>
    <w:tmpl w:val="B7527D6C"/>
    <w:lvl w:ilvl="0" w:tplc="A3883BAC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3565"/>
    <w:rsid w:val="000176F5"/>
    <w:rsid w:val="00051972"/>
    <w:rsid w:val="000D7B58"/>
    <w:rsid w:val="00130FDE"/>
    <w:rsid w:val="00183CBE"/>
    <w:rsid w:val="00194A8A"/>
    <w:rsid w:val="001A5A3D"/>
    <w:rsid w:val="001B4786"/>
    <w:rsid w:val="001D19D1"/>
    <w:rsid w:val="001D5193"/>
    <w:rsid w:val="001E6EBD"/>
    <w:rsid w:val="001F145C"/>
    <w:rsid w:val="002313A7"/>
    <w:rsid w:val="00233243"/>
    <w:rsid w:val="002D1B1F"/>
    <w:rsid w:val="003102C9"/>
    <w:rsid w:val="00367A9A"/>
    <w:rsid w:val="0038144F"/>
    <w:rsid w:val="00381C95"/>
    <w:rsid w:val="00396C93"/>
    <w:rsid w:val="004123A7"/>
    <w:rsid w:val="00414E05"/>
    <w:rsid w:val="00437ECE"/>
    <w:rsid w:val="004A30C1"/>
    <w:rsid w:val="005357D5"/>
    <w:rsid w:val="0055149A"/>
    <w:rsid w:val="00552621"/>
    <w:rsid w:val="0056732F"/>
    <w:rsid w:val="00576CA1"/>
    <w:rsid w:val="005C1C09"/>
    <w:rsid w:val="005D0D66"/>
    <w:rsid w:val="00666A42"/>
    <w:rsid w:val="006F0429"/>
    <w:rsid w:val="007165C2"/>
    <w:rsid w:val="0072325B"/>
    <w:rsid w:val="00744129"/>
    <w:rsid w:val="00753565"/>
    <w:rsid w:val="007847EA"/>
    <w:rsid w:val="007D1269"/>
    <w:rsid w:val="007F11C3"/>
    <w:rsid w:val="00822004"/>
    <w:rsid w:val="00851505"/>
    <w:rsid w:val="0086121D"/>
    <w:rsid w:val="008640A1"/>
    <w:rsid w:val="008B7B03"/>
    <w:rsid w:val="008D7D3D"/>
    <w:rsid w:val="009228EB"/>
    <w:rsid w:val="00975BCF"/>
    <w:rsid w:val="0099069E"/>
    <w:rsid w:val="00992B2D"/>
    <w:rsid w:val="0099670E"/>
    <w:rsid w:val="009970AA"/>
    <w:rsid w:val="009D542D"/>
    <w:rsid w:val="00A216A1"/>
    <w:rsid w:val="00A25403"/>
    <w:rsid w:val="00A47F07"/>
    <w:rsid w:val="00A626D1"/>
    <w:rsid w:val="00A84507"/>
    <w:rsid w:val="00AA74DC"/>
    <w:rsid w:val="00B5651D"/>
    <w:rsid w:val="00B74629"/>
    <w:rsid w:val="00B918A6"/>
    <w:rsid w:val="00BB38A7"/>
    <w:rsid w:val="00C43D88"/>
    <w:rsid w:val="00C87B11"/>
    <w:rsid w:val="00C92FA6"/>
    <w:rsid w:val="00CE6E40"/>
    <w:rsid w:val="00D0739C"/>
    <w:rsid w:val="00D07489"/>
    <w:rsid w:val="00D108CC"/>
    <w:rsid w:val="00D73CD1"/>
    <w:rsid w:val="00DB1394"/>
    <w:rsid w:val="00DE346A"/>
    <w:rsid w:val="00E276AC"/>
    <w:rsid w:val="00E33180"/>
    <w:rsid w:val="00E456EA"/>
    <w:rsid w:val="00E56E4B"/>
    <w:rsid w:val="00E85D52"/>
    <w:rsid w:val="00E862D7"/>
    <w:rsid w:val="00F024B7"/>
    <w:rsid w:val="00F2575F"/>
    <w:rsid w:val="00F3766E"/>
    <w:rsid w:val="00F4648B"/>
    <w:rsid w:val="00F9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6E"/>
  </w:style>
  <w:style w:type="paragraph" w:styleId="1">
    <w:name w:val="heading 1"/>
    <w:basedOn w:val="a"/>
    <w:next w:val="a"/>
    <w:link w:val="10"/>
    <w:qFormat/>
    <w:rsid w:val="005C1C09"/>
    <w:pPr>
      <w:keepNext/>
      <w:spacing w:after="0" w:line="260" w:lineRule="exact"/>
      <w:ind w:right="49" w:firstLine="284"/>
      <w:jc w:val="right"/>
      <w:outlineLvl w:val="0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C09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5514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1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8A6"/>
  </w:style>
  <w:style w:type="paragraph" w:styleId="a6">
    <w:name w:val="footer"/>
    <w:basedOn w:val="a"/>
    <w:link w:val="a7"/>
    <w:uiPriority w:val="99"/>
    <w:unhideWhenUsed/>
    <w:rsid w:val="00B91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8A6"/>
  </w:style>
  <w:style w:type="paragraph" w:styleId="a8">
    <w:name w:val="Body Text"/>
    <w:basedOn w:val="a"/>
    <w:link w:val="11"/>
    <w:rsid w:val="00B918A6"/>
    <w:pPr>
      <w:keepLines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918A6"/>
  </w:style>
  <w:style w:type="character" w:customStyle="1" w:styleId="11">
    <w:name w:val="Основной текст Знак1"/>
    <w:basedOn w:val="a0"/>
    <w:link w:val="a8"/>
    <w:rsid w:val="00B918A6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640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64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8640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64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7A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footnote text"/>
    <w:basedOn w:val="a"/>
    <w:link w:val="ab"/>
    <w:uiPriority w:val="99"/>
    <w:semiHidden/>
    <w:unhideWhenUsed/>
    <w:rsid w:val="002D1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D1B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2D1B1F"/>
    <w:rPr>
      <w:vertAlign w:val="superscript"/>
    </w:rPr>
  </w:style>
  <w:style w:type="paragraph" w:styleId="ad">
    <w:name w:val="Plain Text"/>
    <w:basedOn w:val="a"/>
    <w:link w:val="ae"/>
    <w:unhideWhenUsed/>
    <w:rsid w:val="004A30C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4A30C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67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67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67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67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670E"/>
    <w:rPr>
      <w:b/>
      <w:bCs/>
    </w:rPr>
  </w:style>
  <w:style w:type="paragraph" w:styleId="af4">
    <w:name w:val="Revision"/>
    <w:hidden/>
    <w:uiPriority w:val="99"/>
    <w:semiHidden/>
    <w:rsid w:val="0099670E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99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96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OGrodnikova</dc:creator>
  <cp:lastModifiedBy>OGrodnikova</cp:lastModifiedBy>
  <cp:revision>34</cp:revision>
  <cp:lastPrinted>2016-02-26T14:21:00Z</cp:lastPrinted>
  <dcterms:created xsi:type="dcterms:W3CDTF">2016-02-03T14:37:00Z</dcterms:created>
  <dcterms:modified xsi:type="dcterms:W3CDTF">2017-04-11T11:20:00Z</dcterms:modified>
</cp:coreProperties>
</file>