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09" w:rsidRPr="00AC4411" w:rsidRDefault="005C1C09" w:rsidP="00130FDE">
      <w:pPr>
        <w:pStyle w:val="1"/>
        <w:spacing w:line="240" w:lineRule="auto"/>
        <w:ind w:right="0" w:firstLine="0"/>
        <w:rPr>
          <w:rFonts w:ascii="Arial" w:hAnsi="Arial" w:cs="Arial"/>
          <w:sz w:val="16"/>
          <w:szCs w:val="16"/>
        </w:rPr>
      </w:pPr>
      <w:r w:rsidRPr="00AC4411">
        <w:rPr>
          <w:rFonts w:ascii="Arial" w:hAnsi="Arial" w:cs="Arial"/>
          <w:sz w:val="16"/>
          <w:szCs w:val="16"/>
        </w:rPr>
        <w:t>Приложение №</w:t>
      </w:r>
      <w:r w:rsidR="00667AAD" w:rsidRPr="00AC4411">
        <w:rPr>
          <w:rFonts w:ascii="Arial" w:hAnsi="Arial" w:cs="Arial"/>
          <w:sz w:val="16"/>
          <w:szCs w:val="16"/>
        </w:rPr>
        <w:t xml:space="preserve"> 2</w:t>
      </w:r>
      <w:r w:rsidR="008D7C7A">
        <w:rPr>
          <w:rFonts w:ascii="Arial" w:hAnsi="Arial" w:cs="Arial"/>
          <w:sz w:val="16"/>
          <w:szCs w:val="16"/>
        </w:rPr>
        <w:t>д</w:t>
      </w:r>
    </w:p>
    <w:p w:rsidR="005C1C09" w:rsidRPr="00AC4411" w:rsidRDefault="008640A1" w:rsidP="00130FDE">
      <w:pPr>
        <w:pStyle w:val="1"/>
        <w:spacing w:line="240" w:lineRule="auto"/>
        <w:ind w:right="0" w:firstLine="0"/>
        <w:rPr>
          <w:rFonts w:ascii="Arial" w:hAnsi="Arial" w:cs="Arial"/>
          <w:sz w:val="16"/>
          <w:szCs w:val="16"/>
        </w:rPr>
      </w:pPr>
      <w:r w:rsidRPr="00AC4411">
        <w:rPr>
          <w:rFonts w:ascii="Arial" w:hAnsi="Arial" w:cs="Arial"/>
          <w:sz w:val="16"/>
          <w:szCs w:val="16"/>
        </w:rPr>
        <w:t>к</w:t>
      </w:r>
      <w:r w:rsidR="005C1C09" w:rsidRPr="00AC4411">
        <w:rPr>
          <w:rFonts w:ascii="Arial" w:hAnsi="Arial" w:cs="Arial"/>
          <w:sz w:val="16"/>
          <w:szCs w:val="16"/>
        </w:rPr>
        <w:t xml:space="preserve"> </w:t>
      </w:r>
      <w:r w:rsidRPr="00AC4411">
        <w:rPr>
          <w:rFonts w:ascii="Arial" w:hAnsi="Arial" w:cs="Arial"/>
          <w:sz w:val="16"/>
          <w:szCs w:val="16"/>
        </w:rPr>
        <w:t>Регламенту</w:t>
      </w:r>
      <w:r w:rsidR="005C1C09" w:rsidRPr="00AC4411">
        <w:rPr>
          <w:rFonts w:ascii="Arial" w:hAnsi="Arial" w:cs="Arial"/>
          <w:sz w:val="16"/>
          <w:szCs w:val="16"/>
        </w:rPr>
        <w:t xml:space="preserve"> доверительного управления ценными бумагами</w:t>
      </w:r>
    </w:p>
    <w:p w:rsidR="005C1C09" w:rsidRPr="00AC4411" w:rsidRDefault="005C1C09" w:rsidP="00130FDE">
      <w:pPr>
        <w:pStyle w:val="1"/>
        <w:spacing w:line="240" w:lineRule="auto"/>
        <w:ind w:right="0" w:firstLine="0"/>
        <w:rPr>
          <w:rFonts w:ascii="Arial" w:hAnsi="Arial" w:cs="Arial"/>
          <w:sz w:val="16"/>
          <w:szCs w:val="16"/>
        </w:rPr>
      </w:pPr>
      <w:r w:rsidRPr="00AC4411">
        <w:rPr>
          <w:rFonts w:ascii="Arial" w:hAnsi="Arial" w:cs="Arial"/>
          <w:sz w:val="16"/>
          <w:szCs w:val="16"/>
        </w:rPr>
        <w:t xml:space="preserve"> и средствами инвестирован</w:t>
      </w:r>
      <w:r w:rsidR="001C3764" w:rsidRPr="00AC4411">
        <w:rPr>
          <w:rFonts w:ascii="Arial" w:hAnsi="Arial" w:cs="Arial"/>
          <w:sz w:val="16"/>
          <w:szCs w:val="16"/>
        </w:rPr>
        <w:t>ия</w:t>
      </w:r>
      <w:r w:rsidRPr="00AC4411">
        <w:rPr>
          <w:rFonts w:ascii="Arial" w:hAnsi="Arial" w:cs="Arial"/>
          <w:sz w:val="16"/>
          <w:szCs w:val="16"/>
        </w:rPr>
        <w:t xml:space="preserve"> в ценные бумаги </w:t>
      </w:r>
    </w:p>
    <w:p w:rsidR="008640A1" w:rsidRPr="00AC4411" w:rsidRDefault="005C1C09" w:rsidP="00130FDE">
      <w:pPr>
        <w:pStyle w:val="1"/>
        <w:spacing w:line="240" w:lineRule="auto"/>
        <w:ind w:right="0" w:firstLine="0"/>
        <w:rPr>
          <w:rFonts w:ascii="Arial" w:hAnsi="Arial" w:cs="Arial"/>
          <w:sz w:val="16"/>
          <w:szCs w:val="16"/>
        </w:rPr>
      </w:pPr>
      <w:r w:rsidRPr="00AC4411">
        <w:rPr>
          <w:rFonts w:ascii="Arial" w:hAnsi="Arial" w:cs="Arial"/>
          <w:sz w:val="16"/>
          <w:szCs w:val="16"/>
        </w:rPr>
        <w:t>и производные финансовые инструменты</w:t>
      </w:r>
      <w:r w:rsidR="008640A1" w:rsidRPr="00AC4411">
        <w:rPr>
          <w:rFonts w:ascii="Arial" w:hAnsi="Arial" w:cs="Arial"/>
          <w:sz w:val="16"/>
          <w:szCs w:val="16"/>
        </w:rPr>
        <w:t xml:space="preserve"> </w:t>
      </w:r>
    </w:p>
    <w:p w:rsidR="005C1C09" w:rsidRPr="00AC4411" w:rsidRDefault="0031072C" w:rsidP="00130FDE">
      <w:pPr>
        <w:pStyle w:val="1"/>
        <w:spacing w:line="240" w:lineRule="auto"/>
        <w:ind w:right="0" w:firstLine="0"/>
        <w:rPr>
          <w:rFonts w:ascii="Arial" w:hAnsi="Arial" w:cs="Arial"/>
          <w:sz w:val="16"/>
          <w:szCs w:val="16"/>
        </w:rPr>
      </w:pPr>
      <w:r>
        <w:rPr>
          <w:rFonts w:ascii="Arial" w:hAnsi="Arial" w:cs="Arial"/>
          <w:sz w:val="16"/>
          <w:szCs w:val="16"/>
        </w:rPr>
        <w:t>П</w:t>
      </w:r>
      <w:r w:rsidR="008640A1" w:rsidRPr="00AC4411">
        <w:rPr>
          <w:rFonts w:ascii="Arial" w:hAnsi="Arial" w:cs="Arial"/>
          <w:sz w:val="16"/>
          <w:szCs w:val="16"/>
        </w:rPr>
        <w:t>АО «ИК РУСС-ИНВЕСТ»</w:t>
      </w:r>
    </w:p>
    <w:p w:rsidR="008640A1" w:rsidRPr="002D1B1F" w:rsidRDefault="008640A1" w:rsidP="008640A1">
      <w:pPr>
        <w:pStyle w:val="31"/>
        <w:ind w:firstLine="720"/>
        <w:jc w:val="center"/>
        <w:rPr>
          <w:rFonts w:ascii="Arial" w:hAnsi="Arial" w:cs="Arial"/>
          <w:b/>
          <w:bCs/>
          <w:sz w:val="22"/>
        </w:rPr>
      </w:pPr>
    </w:p>
    <w:p w:rsidR="008D7C7A" w:rsidRPr="00046395" w:rsidRDefault="008D7C7A" w:rsidP="008D7C7A">
      <w:pPr>
        <w:spacing w:after="100" w:afterAutospacing="1" w:line="240" w:lineRule="auto"/>
        <w:jc w:val="center"/>
        <w:rPr>
          <w:b/>
        </w:rPr>
      </w:pPr>
      <w:r w:rsidRPr="00046395">
        <w:rPr>
          <w:b/>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b/>
          <w:sz w:val="20"/>
          <w:szCs w:val="20"/>
        </w:rPr>
        <w:t>Цель настоящей Декларации</w:t>
      </w:r>
      <w:r w:rsidRPr="008D7C7A">
        <w:rPr>
          <w:rFonts w:ascii="Arial" w:hAnsi="Arial" w:cs="Arial"/>
          <w:sz w:val="20"/>
          <w:szCs w:val="20"/>
        </w:rPr>
        <w:t xml:space="preserve">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8D7C7A" w:rsidRPr="00046395" w:rsidRDefault="008D7C7A" w:rsidP="008D7C7A">
      <w:pPr>
        <w:spacing w:after="100" w:afterAutospacing="1"/>
        <w:jc w:val="center"/>
        <w:rPr>
          <w:b/>
        </w:rPr>
      </w:pPr>
      <w:r w:rsidRPr="00046395">
        <w:rPr>
          <w:b/>
        </w:rPr>
        <w:t>Риски, связанные производными финансовыми инструментами</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Рыночный (ценовой) риск</w:t>
      </w:r>
    </w:p>
    <w:p w:rsidR="008D7C7A" w:rsidRDefault="008D7C7A" w:rsidP="008D7C7A">
      <w:pPr>
        <w:spacing w:before="240"/>
        <w:ind w:firstLine="233"/>
        <w:jc w:val="both"/>
        <w:rPr>
          <w:rFonts w:ascii="Arial" w:hAnsi="Arial" w:cs="Arial"/>
          <w:sz w:val="20"/>
          <w:szCs w:val="20"/>
        </w:rPr>
      </w:pPr>
      <w:proofErr w:type="gramStart"/>
      <w:r w:rsidRPr="008D7C7A">
        <w:rPr>
          <w:rFonts w:ascii="Arial" w:hAnsi="Arial" w:cs="Arial"/>
          <w:sz w:val="20"/>
          <w:szCs w:val="20"/>
        </w:rPr>
        <w:t>Помимо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r>
        <w:rPr>
          <w:rFonts w:ascii="Arial" w:hAnsi="Arial" w:cs="Arial"/>
          <w:sz w:val="20"/>
          <w:szCs w:val="20"/>
        </w:rPr>
        <w:t xml:space="preserve"> </w:t>
      </w:r>
      <w:proofErr w:type="gramEnd"/>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Риск ликвидности </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lastRenderedPageBreak/>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rsidR="008D7C7A" w:rsidRPr="008D7C7A" w:rsidRDefault="008D7C7A" w:rsidP="008D7C7A">
      <w:pPr>
        <w:spacing w:before="240"/>
        <w:ind w:firstLine="233"/>
        <w:jc w:val="both"/>
        <w:rPr>
          <w:rFonts w:ascii="Arial" w:hAnsi="Arial" w:cs="Arial"/>
          <w:sz w:val="20"/>
          <w:szCs w:val="20"/>
        </w:rPr>
      </w:pPr>
      <w:proofErr w:type="gramStart"/>
      <w:r w:rsidRPr="008D7C7A">
        <w:rPr>
          <w:rFonts w:ascii="Arial" w:hAnsi="Arial" w:cs="Arial"/>
          <w:sz w:val="20"/>
          <w:szCs w:val="20"/>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roofErr w:type="gramEnd"/>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Ограничение распоряжения средствами, являющимися обеспечением  </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Имущество (часть имущества), принадлежащее Вам, в </w:t>
      </w:r>
      <w:proofErr w:type="gramStart"/>
      <w:r w:rsidRPr="008D7C7A">
        <w:rPr>
          <w:rFonts w:ascii="Arial" w:hAnsi="Arial" w:cs="Arial"/>
          <w:sz w:val="20"/>
          <w:szCs w:val="20"/>
        </w:rPr>
        <w:t>результате</w:t>
      </w:r>
      <w:proofErr w:type="gramEnd"/>
      <w:r w:rsidRPr="008D7C7A">
        <w:rPr>
          <w:rFonts w:ascii="Arial" w:hAnsi="Arial" w:cs="Arial"/>
          <w:sz w:val="20"/>
          <w:szCs w:val="20"/>
        </w:rPr>
        <w:t xml:space="preserve">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w:t>
      </w:r>
      <w:proofErr w:type="gramStart"/>
      <w:r w:rsidRPr="008D7C7A">
        <w:rPr>
          <w:rFonts w:ascii="Arial" w:hAnsi="Arial" w:cs="Arial"/>
          <w:sz w:val="20"/>
          <w:szCs w:val="20"/>
        </w:rPr>
        <w:t>порядке</w:t>
      </w:r>
      <w:proofErr w:type="gramEnd"/>
      <w:r w:rsidRPr="008D7C7A">
        <w:rPr>
          <w:rFonts w:ascii="Arial" w:hAnsi="Arial" w:cs="Arial"/>
          <w:sz w:val="20"/>
          <w:szCs w:val="20"/>
        </w:rPr>
        <w:t>,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Риск принудительного закрытия позиции</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брокер в </w:t>
      </w:r>
      <w:proofErr w:type="gramStart"/>
      <w:r w:rsidRPr="008D7C7A">
        <w:rPr>
          <w:rFonts w:ascii="Arial" w:hAnsi="Arial" w:cs="Arial"/>
          <w:sz w:val="20"/>
          <w:szCs w:val="20"/>
        </w:rPr>
        <w:t>этом</w:t>
      </w:r>
      <w:proofErr w:type="gramEnd"/>
      <w:r w:rsidRPr="008D7C7A">
        <w:rPr>
          <w:rFonts w:ascii="Arial" w:hAnsi="Arial" w:cs="Arial"/>
          <w:sz w:val="20"/>
          <w:szCs w:val="20"/>
        </w:rPr>
        <w:t xml:space="preserve">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Принудительное закрытие позиции направлено на управление рисками. Вы можете понести значительные </w:t>
      </w:r>
      <w:proofErr w:type="gramStart"/>
      <w:r w:rsidRPr="008D7C7A">
        <w:rPr>
          <w:rFonts w:ascii="Arial" w:hAnsi="Arial" w:cs="Arial"/>
          <w:sz w:val="20"/>
          <w:szCs w:val="20"/>
        </w:rPr>
        <w:t>убытки</w:t>
      </w:r>
      <w:proofErr w:type="gramEnd"/>
      <w:r w:rsidRPr="008D7C7A">
        <w:rPr>
          <w:rFonts w:ascii="Arial" w:hAnsi="Arial" w:cs="Arial"/>
          <w:sz w:val="20"/>
          <w:szCs w:val="20"/>
        </w:rPr>
        <w:t xml:space="preserve">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rsidR="008D7C7A" w:rsidRPr="008D7C7A" w:rsidRDefault="008D7C7A" w:rsidP="008D7C7A">
      <w:pPr>
        <w:spacing w:before="240"/>
        <w:ind w:firstLine="233"/>
        <w:jc w:val="both"/>
        <w:rPr>
          <w:rFonts w:ascii="Arial" w:hAnsi="Arial" w:cs="Arial"/>
          <w:b/>
          <w:sz w:val="20"/>
          <w:szCs w:val="20"/>
        </w:rPr>
      </w:pPr>
      <w:r w:rsidRPr="008D7C7A">
        <w:rPr>
          <w:rFonts w:ascii="Arial" w:hAnsi="Arial" w:cs="Arial"/>
          <w:b/>
          <w:sz w:val="20"/>
          <w:szCs w:val="20"/>
        </w:rPr>
        <w:t>Риски, обусловленные иностранным происхождением базисного актива</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Системные риски</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w:t>
      </w:r>
      <w:proofErr w:type="gramStart"/>
      <w:r w:rsidRPr="008D7C7A">
        <w:rPr>
          <w:rFonts w:ascii="Arial" w:hAnsi="Arial" w:cs="Arial"/>
          <w:sz w:val="20"/>
          <w:szCs w:val="20"/>
        </w:rPr>
        <w:t>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roofErr w:type="gramEnd"/>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w:t>
      </w:r>
      <w:proofErr w:type="gramStart"/>
      <w:r w:rsidRPr="008D7C7A">
        <w:rPr>
          <w:rFonts w:ascii="Arial" w:hAnsi="Arial" w:cs="Arial"/>
          <w:sz w:val="20"/>
          <w:szCs w:val="20"/>
        </w:rPr>
        <w:t>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roofErr w:type="gramEnd"/>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lastRenderedPageBreak/>
        <w:t xml:space="preserve">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w:t>
      </w:r>
      <w:proofErr w:type="gramStart"/>
      <w:r w:rsidRPr="008D7C7A">
        <w:rPr>
          <w:rFonts w:ascii="Arial" w:hAnsi="Arial" w:cs="Arial"/>
          <w:sz w:val="20"/>
          <w:szCs w:val="20"/>
        </w:rPr>
        <w:t>результате</w:t>
      </w:r>
      <w:proofErr w:type="gramEnd"/>
      <w:r w:rsidRPr="008D7C7A">
        <w:rPr>
          <w:rFonts w:ascii="Arial" w:hAnsi="Arial" w:cs="Arial"/>
          <w:sz w:val="20"/>
          <w:szCs w:val="20"/>
        </w:rPr>
        <w:t xml:space="preserve">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Правовые риски</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 xml:space="preserve">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w:t>
      </w:r>
      <w:proofErr w:type="gramStart"/>
      <w:r w:rsidRPr="008D7C7A">
        <w:rPr>
          <w:rFonts w:ascii="Arial" w:hAnsi="Arial" w:cs="Arial"/>
          <w:sz w:val="20"/>
          <w:szCs w:val="20"/>
        </w:rPr>
        <w:t>от</w:t>
      </w:r>
      <w:proofErr w:type="gramEnd"/>
      <w:r w:rsidRPr="008D7C7A">
        <w:rPr>
          <w:rFonts w:ascii="Arial" w:hAnsi="Arial" w:cs="Arial"/>
          <w:sz w:val="20"/>
          <w:szCs w:val="20"/>
        </w:rPr>
        <w:t xml:space="preserve"> действующих в России. Кроме того, Вы в </w:t>
      </w:r>
      <w:proofErr w:type="gramStart"/>
      <w:r w:rsidRPr="008D7C7A">
        <w:rPr>
          <w:rFonts w:ascii="Arial" w:hAnsi="Arial" w:cs="Arial"/>
          <w:sz w:val="20"/>
          <w:szCs w:val="20"/>
        </w:rPr>
        <w:t>большинстве</w:t>
      </w:r>
      <w:proofErr w:type="gramEnd"/>
      <w:r w:rsidRPr="008D7C7A">
        <w:rPr>
          <w:rFonts w:ascii="Arial" w:hAnsi="Arial" w:cs="Arial"/>
          <w:sz w:val="20"/>
          <w:szCs w:val="20"/>
        </w:rPr>
        <w:t xml:space="preserve"> случаев не сможете полагаться на защиту своих прав и законных интересов российскими уполномоченными органами.</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Раскрытие информации</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D7C7A" w:rsidRPr="008D7C7A" w:rsidRDefault="008D7C7A" w:rsidP="008D7C7A">
      <w:pPr>
        <w:spacing w:before="240"/>
        <w:ind w:firstLine="233"/>
        <w:jc w:val="both"/>
        <w:rPr>
          <w:rFonts w:ascii="Arial" w:hAnsi="Arial" w:cs="Arial"/>
          <w:sz w:val="20"/>
          <w:szCs w:val="20"/>
        </w:rPr>
      </w:pPr>
      <w:r w:rsidRPr="008D7C7A">
        <w:rPr>
          <w:rFonts w:ascii="Arial" w:hAnsi="Arial" w:cs="Arial"/>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E72D1B" w:rsidRPr="00E72D1B" w:rsidRDefault="00E72D1B" w:rsidP="00771740">
      <w:pPr>
        <w:spacing w:before="240"/>
        <w:ind w:firstLine="233"/>
        <w:jc w:val="center"/>
        <w:rPr>
          <w:rFonts w:ascii="Arial" w:hAnsi="Arial" w:cs="Arial"/>
          <w:sz w:val="20"/>
          <w:szCs w:val="20"/>
        </w:rPr>
      </w:pPr>
      <w:r w:rsidRPr="00E72D1B">
        <w:rPr>
          <w:rFonts w:ascii="Arial" w:hAnsi="Arial" w:cs="Arial"/>
          <w:sz w:val="20"/>
          <w:szCs w:val="20"/>
        </w:rPr>
        <w:t>***</w:t>
      </w:r>
    </w:p>
    <w:p w:rsidR="008D7C7A" w:rsidRDefault="00E72D1B" w:rsidP="008D7C7A">
      <w:pPr>
        <w:spacing w:after="0" w:line="240" w:lineRule="auto"/>
        <w:ind w:firstLine="232"/>
        <w:jc w:val="both"/>
        <w:rPr>
          <w:rFonts w:ascii="Arial" w:hAnsi="Arial" w:cs="Arial"/>
          <w:sz w:val="20"/>
          <w:szCs w:val="20"/>
        </w:rPr>
      </w:pPr>
      <w:r w:rsidRPr="00E72D1B">
        <w:rPr>
          <w:rFonts w:ascii="Arial" w:hAnsi="Arial" w:cs="Arial"/>
          <w:sz w:val="20"/>
          <w:szCs w:val="20"/>
        </w:rPr>
        <w:t xml:space="preserve">Учитывая </w:t>
      </w:r>
      <w:proofErr w:type="gramStart"/>
      <w:r w:rsidRPr="00E72D1B">
        <w:rPr>
          <w:rFonts w:ascii="Arial" w:hAnsi="Arial" w:cs="Arial"/>
          <w:sz w:val="20"/>
          <w:szCs w:val="20"/>
        </w:rPr>
        <w:t>вышеизложенное</w:t>
      </w:r>
      <w:proofErr w:type="gramEnd"/>
      <w:r w:rsidRPr="00E72D1B">
        <w:rPr>
          <w:rFonts w:ascii="Arial" w:hAnsi="Arial" w:cs="Arial"/>
          <w:sz w:val="20"/>
          <w:szCs w:val="20"/>
        </w:rPr>
        <w:t xml:space="preserve">, мы рекомендуем Вам внимательно рассмотреть вопрос о том, являются ли риски, возникающие при проведении </w:t>
      </w:r>
      <w:r w:rsidR="00771740">
        <w:rPr>
          <w:rFonts w:ascii="Arial" w:hAnsi="Arial" w:cs="Arial"/>
          <w:sz w:val="20"/>
          <w:szCs w:val="20"/>
        </w:rPr>
        <w:t>соответствующих операций</w:t>
      </w:r>
      <w:r w:rsidRPr="00E72D1B">
        <w:rPr>
          <w:rFonts w:ascii="Arial" w:hAnsi="Arial" w:cs="Arial"/>
          <w:sz w:val="20"/>
          <w:szCs w:val="20"/>
        </w:rPr>
        <w:t>, приемлемыми для Вас с учетом Ваших инвестиционных целей и финансовых возможностей.</w:t>
      </w:r>
    </w:p>
    <w:p w:rsidR="00E72D1B" w:rsidRPr="00E72D1B" w:rsidRDefault="00E72D1B" w:rsidP="008D7C7A">
      <w:pPr>
        <w:spacing w:after="0" w:line="240" w:lineRule="auto"/>
        <w:ind w:firstLine="232"/>
        <w:jc w:val="both"/>
        <w:rPr>
          <w:rFonts w:ascii="Arial" w:hAnsi="Arial" w:cs="Arial"/>
          <w:sz w:val="20"/>
          <w:szCs w:val="20"/>
        </w:rPr>
      </w:pPr>
      <w:r w:rsidRPr="00E72D1B">
        <w:rPr>
          <w:rFonts w:ascii="Arial" w:hAnsi="Arial" w:cs="Arial"/>
          <w:sz w:val="20"/>
          <w:szCs w:val="20"/>
        </w:rPr>
        <w:t xml:space="preserve">Данная Декларация не имеет своей целью заставить Вас отказаться от осуществления </w:t>
      </w:r>
      <w:r w:rsidR="00771740">
        <w:rPr>
          <w:rFonts w:ascii="Arial" w:hAnsi="Arial" w:cs="Arial"/>
          <w:sz w:val="20"/>
          <w:szCs w:val="20"/>
        </w:rPr>
        <w:t xml:space="preserve">таких </w:t>
      </w:r>
      <w:r w:rsidRPr="00E72D1B">
        <w:rPr>
          <w:rFonts w:ascii="Arial" w:hAnsi="Arial" w:cs="Arial"/>
          <w:sz w:val="20"/>
          <w:szCs w:val="20"/>
        </w:rPr>
        <w:t>операций, а призван</w:t>
      </w:r>
      <w:r w:rsidR="00771740">
        <w:rPr>
          <w:rFonts w:ascii="Arial" w:hAnsi="Arial" w:cs="Arial"/>
          <w:sz w:val="20"/>
          <w:szCs w:val="20"/>
        </w:rPr>
        <w:t>а</w:t>
      </w:r>
      <w:r w:rsidRPr="00E72D1B">
        <w:rPr>
          <w:rFonts w:ascii="Arial" w:hAnsi="Arial" w:cs="Arial"/>
          <w:sz w:val="20"/>
          <w:szCs w:val="20"/>
        </w:rPr>
        <w:t xml:space="preserve"> помочь Вам оценить их риски и ответственно подойти к решению вопроса о выборе Вашей инвестиционной стратегии, условий договора с вашим </w:t>
      </w:r>
      <w:r w:rsidR="00771740">
        <w:rPr>
          <w:rFonts w:ascii="Arial" w:hAnsi="Arial" w:cs="Arial"/>
          <w:sz w:val="20"/>
          <w:szCs w:val="20"/>
        </w:rPr>
        <w:t>управляющим</w:t>
      </w:r>
      <w:r w:rsidRPr="00E72D1B">
        <w:rPr>
          <w:rFonts w:ascii="Arial" w:hAnsi="Arial" w:cs="Arial"/>
          <w:sz w:val="20"/>
          <w:szCs w:val="20"/>
        </w:rPr>
        <w:t>.</w:t>
      </w:r>
    </w:p>
    <w:p w:rsidR="00E72D1B" w:rsidRPr="00E72D1B" w:rsidRDefault="00E72D1B" w:rsidP="008D7C7A">
      <w:pPr>
        <w:spacing w:after="0" w:line="240" w:lineRule="auto"/>
        <w:ind w:firstLine="232"/>
        <w:jc w:val="both"/>
        <w:rPr>
          <w:rFonts w:ascii="Arial" w:hAnsi="Arial" w:cs="Arial"/>
          <w:sz w:val="20"/>
          <w:szCs w:val="20"/>
        </w:rPr>
      </w:pPr>
      <w:r w:rsidRPr="00E72D1B">
        <w:rPr>
          <w:rFonts w:ascii="Arial" w:hAnsi="Arial" w:cs="Arial"/>
          <w:sz w:val="20"/>
          <w:szCs w:val="20"/>
        </w:rPr>
        <w:t xml:space="preserve">Убедитесь, что настоящая Декларация о рисках понятна вам, и при необходимости получите разъяснения у вашего </w:t>
      </w:r>
      <w:r w:rsidR="00771740">
        <w:rPr>
          <w:rFonts w:ascii="Arial" w:hAnsi="Arial" w:cs="Arial"/>
          <w:sz w:val="20"/>
          <w:szCs w:val="20"/>
        </w:rPr>
        <w:t>управляющего</w:t>
      </w:r>
      <w:r w:rsidRPr="00E72D1B">
        <w:rPr>
          <w:rFonts w:ascii="Arial" w:hAnsi="Arial" w:cs="Arial"/>
          <w:sz w:val="20"/>
          <w:szCs w:val="20"/>
        </w:rPr>
        <w:t xml:space="preserve"> или консультанта, специализирующегося на соответствующих вопросах.</w:t>
      </w:r>
    </w:p>
    <w:p w:rsidR="00AB17F6" w:rsidRPr="009878A0" w:rsidRDefault="00AB17F6" w:rsidP="00AB17F6">
      <w:pPr>
        <w:pStyle w:val="12"/>
        <w:spacing w:before="360"/>
        <w:ind w:left="0" w:firstLine="0"/>
        <w:jc w:val="both"/>
        <w:rPr>
          <w:rFonts w:ascii="Arial" w:hAnsi="Arial" w:cs="Arial"/>
          <w:b/>
          <w:bCs/>
          <w:i/>
          <w:iCs/>
          <w:sz w:val="20"/>
          <w:szCs w:val="20"/>
        </w:rPr>
      </w:pPr>
      <w:r w:rsidRPr="009878A0">
        <w:rPr>
          <w:rFonts w:ascii="Arial" w:hAnsi="Arial" w:cs="Arial"/>
          <w:b/>
          <w:bCs/>
          <w:i/>
          <w:iCs/>
          <w:sz w:val="20"/>
          <w:szCs w:val="20"/>
        </w:rPr>
        <w:t xml:space="preserve">Подача </w:t>
      </w:r>
      <w:r w:rsidR="00293D34">
        <w:rPr>
          <w:rFonts w:ascii="Arial" w:hAnsi="Arial" w:cs="Arial"/>
          <w:b/>
          <w:bCs/>
          <w:i/>
          <w:iCs/>
          <w:sz w:val="20"/>
          <w:szCs w:val="20"/>
        </w:rPr>
        <w:t>Учредителем</w:t>
      </w:r>
      <w:r w:rsidRPr="009878A0">
        <w:rPr>
          <w:rFonts w:ascii="Arial" w:hAnsi="Arial" w:cs="Arial"/>
          <w:b/>
          <w:bCs/>
          <w:i/>
          <w:iCs/>
          <w:sz w:val="20"/>
          <w:szCs w:val="20"/>
        </w:rPr>
        <w:t xml:space="preserve"> Заявления о присоединении к Договору доверительного управления ценными бумагами и средствами инвестирования в ценные бумаги и производные финансовые инструменты  </w:t>
      </w:r>
      <w:r w:rsidR="0031072C">
        <w:rPr>
          <w:rFonts w:ascii="Arial" w:hAnsi="Arial" w:cs="Arial"/>
          <w:b/>
          <w:bCs/>
          <w:i/>
          <w:iCs/>
          <w:sz w:val="20"/>
          <w:szCs w:val="20"/>
        </w:rPr>
        <w:t>П</w:t>
      </w:r>
      <w:r w:rsidRPr="009878A0">
        <w:rPr>
          <w:rFonts w:ascii="Arial" w:hAnsi="Arial" w:cs="Arial"/>
          <w:b/>
          <w:bCs/>
          <w:i/>
          <w:iCs/>
          <w:sz w:val="20"/>
          <w:szCs w:val="20"/>
        </w:rPr>
        <w:t>АО «ИК РУСС-ИНВЕСТ</w:t>
      </w:r>
      <w:r w:rsidR="00487F4B">
        <w:rPr>
          <w:rFonts w:ascii="Arial" w:hAnsi="Arial" w:cs="Arial"/>
          <w:b/>
          <w:bCs/>
          <w:i/>
          <w:iCs/>
          <w:sz w:val="20"/>
          <w:szCs w:val="20"/>
        </w:rPr>
        <w:t xml:space="preserve">» </w:t>
      </w:r>
      <w:r w:rsidRPr="009878A0">
        <w:rPr>
          <w:rFonts w:ascii="Arial" w:hAnsi="Arial" w:cs="Arial"/>
          <w:b/>
          <w:bCs/>
          <w:i/>
          <w:iCs/>
          <w:sz w:val="20"/>
          <w:szCs w:val="20"/>
        </w:rPr>
        <w:t xml:space="preserve">означает, что Учредитель </w:t>
      </w:r>
      <w:r w:rsidR="00792AFB" w:rsidRPr="009878A0">
        <w:rPr>
          <w:rFonts w:ascii="Arial" w:hAnsi="Arial" w:cs="Arial"/>
          <w:b/>
          <w:bCs/>
          <w:i/>
          <w:iCs/>
          <w:sz w:val="20"/>
          <w:szCs w:val="20"/>
        </w:rPr>
        <w:t xml:space="preserve">ознакомился с настоящей  Декларацией и </w:t>
      </w:r>
      <w:r w:rsidRPr="009878A0">
        <w:rPr>
          <w:rFonts w:ascii="Arial" w:hAnsi="Arial" w:cs="Arial"/>
          <w:b/>
          <w:bCs/>
          <w:i/>
          <w:iCs/>
          <w:sz w:val="20"/>
          <w:szCs w:val="20"/>
        </w:rPr>
        <w:t>подтверждает, что он уведомлен о перечисленных выше рисках, положения Декларации о рисках  Учредителю разъяснены</w:t>
      </w:r>
      <w:r w:rsidR="00792AFB" w:rsidRPr="009878A0">
        <w:rPr>
          <w:rFonts w:ascii="Arial" w:hAnsi="Arial" w:cs="Arial"/>
          <w:b/>
          <w:bCs/>
          <w:i/>
          <w:iCs/>
          <w:sz w:val="20"/>
          <w:szCs w:val="20"/>
        </w:rPr>
        <w:t xml:space="preserve"> и понятны.</w:t>
      </w:r>
    </w:p>
    <w:p w:rsidR="006C3351" w:rsidRDefault="006C3351" w:rsidP="008D7C7A">
      <w:pPr>
        <w:pStyle w:val="12"/>
        <w:spacing w:before="360"/>
        <w:ind w:left="0" w:firstLine="0"/>
        <w:jc w:val="both"/>
      </w:pPr>
      <w:r w:rsidRPr="006C3351">
        <w:rPr>
          <w:rFonts w:ascii="Arial" w:hAnsi="Arial" w:cs="Arial"/>
          <w:b/>
          <w:bCs/>
          <w:i/>
          <w:iCs/>
          <w:sz w:val="20"/>
          <w:szCs w:val="20"/>
        </w:rPr>
        <w:t xml:space="preserve">Настоящая Декларация, как Приложение № </w:t>
      </w:r>
      <w:r>
        <w:rPr>
          <w:rFonts w:ascii="Arial" w:hAnsi="Arial" w:cs="Arial"/>
          <w:b/>
          <w:bCs/>
          <w:i/>
          <w:iCs/>
          <w:sz w:val="20"/>
          <w:szCs w:val="20"/>
        </w:rPr>
        <w:t>2</w:t>
      </w:r>
      <w:r w:rsidR="008D7C7A">
        <w:rPr>
          <w:rFonts w:ascii="Arial" w:hAnsi="Arial" w:cs="Arial"/>
          <w:b/>
          <w:bCs/>
          <w:i/>
          <w:iCs/>
          <w:sz w:val="20"/>
          <w:szCs w:val="20"/>
        </w:rPr>
        <w:t>д</w:t>
      </w:r>
      <w:r w:rsidRPr="006C3351">
        <w:rPr>
          <w:rFonts w:ascii="Arial" w:hAnsi="Arial" w:cs="Arial"/>
          <w:b/>
          <w:bCs/>
          <w:i/>
          <w:iCs/>
          <w:sz w:val="20"/>
          <w:szCs w:val="20"/>
        </w:rPr>
        <w:t xml:space="preserve"> к Регламенту, </w:t>
      </w:r>
      <w:r w:rsidR="005A127F" w:rsidRPr="006C3351">
        <w:rPr>
          <w:rFonts w:ascii="Arial" w:hAnsi="Arial" w:cs="Arial"/>
          <w:b/>
          <w:bCs/>
          <w:i/>
          <w:iCs/>
          <w:sz w:val="20"/>
          <w:szCs w:val="20"/>
        </w:rPr>
        <w:t xml:space="preserve">размещается </w:t>
      </w:r>
      <w:r w:rsidR="005A127F" w:rsidRPr="005A127F">
        <w:rPr>
          <w:rFonts w:ascii="Arial" w:hAnsi="Arial" w:cs="Arial"/>
          <w:b/>
          <w:bCs/>
          <w:i/>
          <w:iCs/>
          <w:sz w:val="20"/>
          <w:szCs w:val="20"/>
        </w:rPr>
        <w:t>У</w:t>
      </w:r>
      <w:r w:rsidR="005A127F">
        <w:rPr>
          <w:rFonts w:ascii="Arial" w:hAnsi="Arial" w:cs="Arial"/>
          <w:b/>
          <w:bCs/>
          <w:i/>
          <w:iCs/>
          <w:sz w:val="20"/>
          <w:szCs w:val="20"/>
        </w:rPr>
        <w:t>правляющим</w:t>
      </w:r>
      <w:r w:rsidR="005A127F" w:rsidRPr="006C3351">
        <w:rPr>
          <w:rFonts w:ascii="Arial" w:hAnsi="Arial" w:cs="Arial"/>
          <w:b/>
          <w:bCs/>
          <w:i/>
          <w:iCs/>
          <w:sz w:val="20"/>
          <w:szCs w:val="20"/>
        </w:rPr>
        <w:t xml:space="preserve"> также </w:t>
      </w:r>
      <w:r w:rsidR="005A127F" w:rsidRPr="005A127F">
        <w:rPr>
          <w:rFonts w:ascii="Arial" w:hAnsi="Arial" w:cs="Arial"/>
          <w:b/>
          <w:bCs/>
          <w:i/>
          <w:iCs/>
          <w:sz w:val="20"/>
          <w:szCs w:val="20"/>
        </w:rPr>
        <w:t>в сети Интернет на сайте Управляющего</w:t>
      </w:r>
      <w:r w:rsidR="005A127F" w:rsidRPr="006C3351">
        <w:rPr>
          <w:rFonts w:ascii="Arial" w:hAnsi="Arial" w:cs="Arial"/>
          <w:b/>
          <w:bCs/>
          <w:i/>
          <w:iCs/>
          <w:sz w:val="20"/>
          <w:szCs w:val="20"/>
        </w:rPr>
        <w:t xml:space="preserve"> по адресу </w:t>
      </w:r>
      <w:hyperlink r:id="rId8" w:history="1">
        <w:r w:rsidR="005A127F" w:rsidRPr="006C3351">
          <w:rPr>
            <w:rFonts w:ascii="Arial" w:hAnsi="Arial" w:cs="Arial"/>
            <w:b/>
            <w:bCs/>
            <w:i/>
            <w:iCs/>
            <w:sz w:val="20"/>
            <w:szCs w:val="20"/>
          </w:rPr>
          <w:t>www.russ-invest.com</w:t>
        </w:r>
      </w:hyperlink>
      <w:r w:rsidR="005A127F" w:rsidRPr="006C3351">
        <w:rPr>
          <w:rFonts w:ascii="Arial" w:hAnsi="Arial" w:cs="Arial"/>
          <w:b/>
          <w:bCs/>
          <w:i/>
          <w:iCs/>
          <w:sz w:val="20"/>
          <w:szCs w:val="20"/>
        </w:rPr>
        <w:t xml:space="preserve"> и доступна в </w:t>
      </w:r>
      <w:r w:rsidR="005A127F" w:rsidRPr="005A127F">
        <w:rPr>
          <w:rFonts w:ascii="Arial" w:hAnsi="Arial" w:cs="Arial"/>
          <w:b/>
          <w:bCs/>
          <w:i/>
          <w:iCs/>
          <w:sz w:val="20"/>
          <w:szCs w:val="20"/>
        </w:rPr>
        <w:t>сети Интернет</w:t>
      </w:r>
      <w:r w:rsidR="005A127F">
        <w:rPr>
          <w:rFonts w:ascii="Arial" w:hAnsi="Arial" w:cs="Arial"/>
          <w:b/>
          <w:bCs/>
          <w:i/>
          <w:iCs/>
          <w:sz w:val="20"/>
          <w:szCs w:val="20"/>
        </w:rPr>
        <w:t xml:space="preserve"> для ознакомления всем</w:t>
      </w:r>
      <w:r w:rsidR="005A127F" w:rsidRPr="006C3351">
        <w:rPr>
          <w:rFonts w:ascii="Arial" w:hAnsi="Arial" w:cs="Arial"/>
          <w:b/>
          <w:bCs/>
          <w:i/>
          <w:iCs/>
          <w:sz w:val="20"/>
          <w:szCs w:val="20"/>
        </w:rPr>
        <w:t xml:space="preserve"> </w:t>
      </w:r>
      <w:r w:rsidR="005A127F">
        <w:rPr>
          <w:rFonts w:ascii="Arial" w:hAnsi="Arial" w:cs="Arial"/>
          <w:b/>
          <w:bCs/>
          <w:i/>
          <w:iCs/>
          <w:sz w:val="20"/>
          <w:szCs w:val="20"/>
        </w:rPr>
        <w:t>Учредителям</w:t>
      </w:r>
      <w:r w:rsidR="005A127F" w:rsidRPr="006C3351">
        <w:rPr>
          <w:rFonts w:ascii="Arial" w:hAnsi="Arial" w:cs="Arial"/>
          <w:b/>
          <w:bCs/>
          <w:i/>
          <w:iCs/>
          <w:sz w:val="20"/>
          <w:szCs w:val="20"/>
        </w:rPr>
        <w:t>.</w:t>
      </w:r>
    </w:p>
    <w:sectPr w:rsidR="006C3351" w:rsidSect="00AC4411">
      <w:headerReference w:type="default" r:id="rId9"/>
      <w:footerReference w:type="default" r:id="rId10"/>
      <w:pgSz w:w="11906" w:h="16838"/>
      <w:pgMar w:top="817" w:right="707" w:bottom="1134" w:left="1134" w:header="284" w:footer="2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573" w:rsidRDefault="008C5573" w:rsidP="00B918A6">
      <w:pPr>
        <w:spacing w:after="0" w:line="240" w:lineRule="auto"/>
      </w:pPr>
      <w:r>
        <w:separator/>
      </w:r>
    </w:p>
  </w:endnote>
  <w:endnote w:type="continuationSeparator" w:id="0">
    <w:p w:rsidR="008C5573" w:rsidRDefault="008C5573" w:rsidP="00B91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sz w:val="16"/>
      </w:rPr>
      <w:id w:val="266369820"/>
      <w:docPartObj>
        <w:docPartGallery w:val="Page Numbers (Bottom of Page)"/>
        <w:docPartUnique/>
      </w:docPartObj>
    </w:sdtPr>
    <w:sdtContent>
      <w:p w:rsidR="008C5573" w:rsidRDefault="008C5573" w:rsidP="001C3764">
        <w:pPr>
          <w:pStyle w:val="a6"/>
          <w:ind w:right="360"/>
          <w:jc w:val="center"/>
          <w:rPr>
            <w:rFonts w:ascii="Arial" w:hAnsi="Arial" w:cs="Arial"/>
            <w:i/>
            <w:sz w:val="16"/>
          </w:rPr>
        </w:pPr>
      </w:p>
      <w:p w:rsidR="008C5573" w:rsidRDefault="009C5225" w:rsidP="001C3764">
        <w:pPr>
          <w:pStyle w:val="a6"/>
          <w:ind w:right="360"/>
          <w:jc w:val="center"/>
          <w:rPr>
            <w:rFonts w:ascii="Arial" w:hAnsi="Arial" w:cs="Arial"/>
            <w:i/>
            <w:sz w:val="16"/>
          </w:rPr>
        </w:pPr>
        <w:r>
          <w:rPr>
            <w:rFonts w:ascii="Arial" w:hAnsi="Arial" w:cs="Arial"/>
            <w:i/>
            <w:noProof/>
            <w:sz w:val="16"/>
            <w:lang w:eastAsia="ru-RU"/>
          </w:rPr>
          <w:pict>
            <v:shapetype id="_x0000_t32" coordsize="21600,21600" o:spt="32" o:oned="t" path="m,l21600,21600e" filled="f">
              <v:path arrowok="t" fillok="f" o:connecttype="none"/>
              <o:lock v:ext="edit" shapetype="t"/>
            </v:shapetype>
            <v:shape id="_x0000_s8193" type="#_x0000_t32" style="position:absolute;left:0;text-align:left;margin-left:.3pt;margin-top:4.9pt;width:502.5pt;height:.05pt;z-index:251658240" o:connectortype="straight"/>
          </w:pict>
        </w:r>
      </w:p>
      <w:p w:rsidR="008C5573" w:rsidRPr="00293D34" w:rsidRDefault="008C5573" w:rsidP="001C3764">
        <w:pPr>
          <w:pStyle w:val="a6"/>
          <w:ind w:right="360"/>
          <w:jc w:val="center"/>
          <w:rPr>
            <w:rFonts w:ascii="Arial" w:hAnsi="Arial" w:cs="Arial"/>
            <w:i/>
            <w:sz w:val="16"/>
          </w:rPr>
        </w:pPr>
        <w:r w:rsidRPr="00293D34">
          <w:rPr>
            <w:rFonts w:ascii="Arial" w:hAnsi="Arial" w:cs="Arial"/>
            <w:i/>
            <w:sz w:val="16"/>
          </w:rPr>
          <w:t xml:space="preserve">Регламент доверительного управления ценными бумагами и средствами инвестирования в ценные бумаги  и производные финансовые инструменты </w:t>
        </w:r>
        <w:r>
          <w:rPr>
            <w:rFonts w:ascii="Arial" w:hAnsi="Arial" w:cs="Arial"/>
            <w:i/>
            <w:sz w:val="16"/>
          </w:rPr>
          <w:t>П</w:t>
        </w:r>
        <w:r w:rsidRPr="00293D34">
          <w:rPr>
            <w:rFonts w:ascii="Arial" w:hAnsi="Arial" w:cs="Arial"/>
            <w:i/>
            <w:sz w:val="16"/>
          </w:rPr>
          <w:t xml:space="preserve">АО «ИК РУСС-ИНВЕСТ» </w:t>
        </w:r>
      </w:p>
    </w:sdtContent>
  </w:sdt>
  <w:p w:rsidR="008C5573" w:rsidRDefault="009C5225" w:rsidP="008B7B03">
    <w:pPr>
      <w:pStyle w:val="a6"/>
      <w:jc w:val="right"/>
    </w:pPr>
    <w:fldSimple w:instr=" PAGE   \* MERGEFORMAT ">
      <w:r w:rsidR="005A127F">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573" w:rsidRDefault="008C5573" w:rsidP="00B918A6">
      <w:pPr>
        <w:spacing w:after="0" w:line="240" w:lineRule="auto"/>
      </w:pPr>
      <w:r>
        <w:separator/>
      </w:r>
    </w:p>
  </w:footnote>
  <w:footnote w:type="continuationSeparator" w:id="0">
    <w:p w:rsidR="008C5573" w:rsidRDefault="008C5573" w:rsidP="00B91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573" w:rsidRPr="008B7B03" w:rsidRDefault="008C5573" w:rsidP="001C3764">
    <w:pPr>
      <w:pStyle w:val="a8"/>
      <w:pBdr>
        <w:bottom w:val="single" w:sz="4" w:space="4" w:color="auto"/>
      </w:pBdr>
      <w:jc w:val="center"/>
      <w:rPr>
        <w:i/>
        <w:sz w:val="16"/>
      </w:rPr>
    </w:pPr>
    <w:r w:rsidRPr="001C3764">
      <w:rPr>
        <w:i/>
        <w:sz w:val="16"/>
      </w:rPr>
      <w:tab/>
    </w:r>
    <w:r>
      <w:rPr>
        <w:i/>
        <w:sz w:val="16"/>
      </w:rPr>
      <w:t>Публичное</w:t>
    </w:r>
    <w:r w:rsidRPr="008B7B03">
      <w:rPr>
        <w:i/>
        <w:sz w:val="16"/>
      </w:rPr>
      <w:t xml:space="preserve"> акционерное общество «ИНВЕСТИЦИОННАЯ КОМПАНИЯ ИК РУСС-ИНВЕСТ»</w:t>
    </w:r>
    <w:bookmarkStart w:id="0" w:name="OLE_LINK13"/>
    <w:bookmarkStart w:id="1" w:name="OLE_LINK14"/>
    <w:bookmarkEnd w:id="0"/>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2F8E"/>
    <w:multiLevelType w:val="hybridMultilevel"/>
    <w:tmpl w:val="8D58C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C1850"/>
    <w:multiLevelType w:val="hybridMultilevel"/>
    <w:tmpl w:val="2B860C1E"/>
    <w:lvl w:ilvl="0" w:tplc="2BE8AC8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C3841D7"/>
    <w:multiLevelType w:val="hybridMultilevel"/>
    <w:tmpl w:val="ADC2599E"/>
    <w:lvl w:ilvl="0" w:tplc="296465C4">
      <w:start w:val="1"/>
      <w:numFmt w:val="decimal"/>
      <w:suff w:val="space"/>
      <w:lvlText w:val="%1."/>
      <w:lvlJc w:val="left"/>
      <w:pPr>
        <w:ind w:left="0" w:firstLine="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A92A44"/>
    <w:multiLevelType w:val="hybridMultilevel"/>
    <w:tmpl w:val="A7D4E854"/>
    <w:lvl w:ilvl="0" w:tplc="334E7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9BF32B1"/>
    <w:multiLevelType w:val="hybridMultilevel"/>
    <w:tmpl w:val="EB42C812"/>
    <w:lvl w:ilvl="0" w:tplc="13D8AC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0F4B9F"/>
    <w:multiLevelType w:val="hybridMultilevel"/>
    <w:tmpl w:val="CC2AEBF6"/>
    <w:lvl w:ilvl="0" w:tplc="2BE8AC8C">
      <w:start w:val="1"/>
      <w:numFmt w:val="decimal"/>
      <w:lvlText w:val="%1."/>
      <w:lvlJc w:val="left"/>
      <w:pPr>
        <w:ind w:left="1080" w:hanging="360"/>
      </w:pPr>
      <w:rPr>
        <w:rFonts w:hint="default"/>
      </w:rPr>
    </w:lvl>
    <w:lvl w:ilvl="1" w:tplc="4636108E">
      <w:start w:val="1"/>
      <w:numFmt w:val="decimal"/>
      <w:lvlText w:val="5.%2."/>
      <w:lvlJc w:val="left"/>
      <w:pPr>
        <w:ind w:left="1800" w:hanging="360"/>
      </w:pPr>
      <w:rPr>
        <w:rFonts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4B5B36"/>
    <w:multiLevelType w:val="multilevel"/>
    <w:tmpl w:val="E7704DFE"/>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
    <w:nsid w:val="2FC55D41"/>
    <w:multiLevelType w:val="multilevel"/>
    <w:tmpl w:val="C6B48E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
        </w:tabs>
        <w:ind w:left="-3" w:firstLine="3"/>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FD10EC9"/>
    <w:multiLevelType w:val="hybridMultilevel"/>
    <w:tmpl w:val="9BEAE7F4"/>
    <w:lvl w:ilvl="0" w:tplc="379E18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060891"/>
    <w:multiLevelType w:val="hybridMultilevel"/>
    <w:tmpl w:val="83306E82"/>
    <w:lvl w:ilvl="0" w:tplc="D5BE5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F8A4A10"/>
    <w:multiLevelType w:val="hybridMultilevel"/>
    <w:tmpl w:val="016CF6E2"/>
    <w:lvl w:ilvl="0" w:tplc="51B630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FB6A62"/>
    <w:multiLevelType w:val="hybridMultilevel"/>
    <w:tmpl w:val="637AC1DA"/>
    <w:lvl w:ilvl="0" w:tplc="30C8CAD8">
      <w:start w:val="2"/>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596E1C"/>
    <w:multiLevelType w:val="multilevel"/>
    <w:tmpl w:val="D66EF8A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9253813"/>
    <w:multiLevelType w:val="hybridMultilevel"/>
    <w:tmpl w:val="20804C0C"/>
    <w:lvl w:ilvl="0" w:tplc="8654C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A2917DA"/>
    <w:multiLevelType w:val="multilevel"/>
    <w:tmpl w:val="585E7AA8"/>
    <w:lvl w:ilvl="0">
      <w:start w:val="2"/>
      <w:numFmt w:val="decimal"/>
      <w:suff w:val="space"/>
      <w:lvlText w:val="%1."/>
      <w:lvlJc w:val="left"/>
      <w:pPr>
        <w:ind w:left="0" w:firstLine="0"/>
      </w:pPr>
      <w:rPr>
        <w:rFonts w:hint="default"/>
      </w:rPr>
    </w:lvl>
    <w:lvl w:ilvl="1">
      <w:start w:val="1"/>
      <w:numFmt w:val="decimal"/>
      <w:lvlText w:val="%1.%2."/>
      <w:lvlJc w:val="left"/>
      <w:pPr>
        <w:ind w:left="675" w:hanging="495"/>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63FC0ED0"/>
    <w:multiLevelType w:val="hybridMultilevel"/>
    <w:tmpl w:val="C44C2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D36272"/>
    <w:multiLevelType w:val="hybridMultilevel"/>
    <w:tmpl w:val="163C840A"/>
    <w:lvl w:ilvl="0" w:tplc="ABAC531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4F77B7"/>
    <w:multiLevelType w:val="multilevel"/>
    <w:tmpl w:val="05F872BE"/>
    <w:lvl w:ilvl="0">
      <w:start w:val="1"/>
      <w:numFmt w:val="decimal"/>
      <w:suff w:val="space"/>
      <w:lvlText w:val="%1."/>
      <w:lvlJc w:val="left"/>
      <w:pPr>
        <w:ind w:left="170" w:hanging="170"/>
      </w:pPr>
      <w:rPr>
        <w:rFonts w:ascii="Times New Roman" w:hAnsi="Times New Roman" w:cs="Times New Roman" w:hint="default"/>
      </w:rPr>
    </w:lvl>
    <w:lvl w:ilvl="1">
      <w:start w:val="2"/>
      <w:numFmt w:val="decimal"/>
      <w:lvlText w:val="%1.%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6E13156A"/>
    <w:multiLevelType w:val="multilevel"/>
    <w:tmpl w:val="EFAA171E"/>
    <w:lvl w:ilvl="0">
      <w:start w:val="1"/>
      <w:numFmt w:val="decimal"/>
      <w:suff w:val="space"/>
      <w:lvlText w:val="%1."/>
      <w:lvlJc w:val="left"/>
      <w:pPr>
        <w:ind w:left="720" w:hanging="360"/>
      </w:pPr>
      <w:rPr>
        <w:rFonts w:ascii="Arial" w:eastAsia="Times New Roman" w:hAnsi="Arial" w:cs="Arial"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18"/>
  </w:num>
  <w:num w:numId="2">
    <w:abstractNumId w:val="2"/>
  </w:num>
  <w:num w:numId="3">
    <w:abstractNumId w:val="10"/>
  </w:num>
  <w:num w:numId="4">
    <w:abstractNumId w:val="7"/>
  </w:num>
  <w:num w:numId="5">
    <w:abstractNumId w:val="1"/>
  </w:num>
  <w:num w:numId="6">
    <w:abstractNumId w:val="13"/>
  </w:num>
  <w:num w:numId="7">
    <w:abstractNumId w:val="14"/>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2."/>
        <w:lvlJc w:val="left"/>
        <w:pPr>
          <w:ind w:left="675" w:hanging="495"/>
        </w:pPr>
        <w:rPr>
          <w:rFonts w:hint="default"/>
          <w:b w:val="0"/>
          <w:i w:val="0"/>
        </w:rPr>
      </w:lvl>
    </w:lvlOverride>
    <w:lvlOverride w:ilvl="2">
      <w:lvl w:ilvl="2">
        <w:start w:val="1"/>
        <w:numFmt w:val="decimal"/>
        <w:lvlText w:val="%1.%2.%3."/>
        <w:lvlJc w:val="left"/>
        <w:pPr>
          <w:ind w:left="1080" w:hanging="720"/>
        </w:pPr>
        <w:rPr>
          <w:rFonts w:hint="default"/>
        </w:rPr>
      </w:lvl>
    </w:lvlOverride>
    <w:lvlOverride w:ilvl="3">
      <w:lvl w:ilvl="3">
        <w:start w:val="1"/>
        <w:numFmt w:val="decimal"/>
        <w:lvlText w:val="%1.%2.%3.%4."/>
        <w:lvlJc w:val="left"/>
        <w:pPr>
          <w:ind w:left="1260" w:hanging="720"/>
        </w:pPr>
        <w:rPr>
          <w:rFonts w:hint="default"/>
        </w:rPr>
      </w:lvl>
    </w:lvlOverride>
    <w:lvlOverride w:ilvl="4">
      <w:lvl w:ilvl="4">
        <w:start w:val="1"/>
        <w:numFmt w:val="decimal"/>
        <w:lvlText w:val="%1.%2.%3.%4.%5."/>
        <w:lvlJc w:val="left"/>
        <w:pPr>
          <w:ind w:left="1800" w:hanging="1080"/>
        </w:pPr>
        <w:rPr>
          <w:rFonts w:hint="default"/>
        </w:rPr>
      </w:lvl>
    </w:lvlOverride>
    <w:lvlOverride w:ilvl="5">
      <w:lvl w:ilvl="5">
        <w:start w:val="1"/>
        <w:numFmt w:val="decimal"/>
        <w:lvlText w:val="%1.%2.%3.%4.%5.%6."/>
        <w:lvlJc w:val="left"/>
        <w:pPr>
          <w:ind w:left="1980" w:hanging="1080"/>
        </w:pPr>
        <w:rPr>
          <w:rFonts w:hint="default"/>
        </w:rPr>
      </w:lvl>
    </w:lvlOverride>
    <w:lvlOverride w:ilvl="6">
      <w:lvl w:ilvl="6">
        <w:start w:val="1"/>
        <w:numFmt w:val="decimal"/>
        <w:lvlText w:val="%1.%2.%3.%4.%5.%6.%7."/>
        <w:lvlJc w:val="left"/>
        <w:pPr>
          <w:ind w:left="2520" w:hanging="1440"/>
        </w:pPr>
        <w:rPr>
          <w:rFonts w:hint="default"/>
        </w:rPr>
      </w:lvl>
    </w:lvlOverride>
    <w:lvlOverride w:ilvl="7">
      <w:lvl w:ilvl="7">
        <w:start w:val="1"/>
        <w:numFmt w:val="decimal"/>
        <w:lvlText w:val="%1.%2.%3.%4.%5.%6.%7.%8."/>
        <w:lvlJc w:val="left"/>
        <w:pPr>
          <w:ind w:left="2700" w:hanging="1440"/>
        </w:pPr>
        <w:rPr>
          <w:rFonts w:hint="default"/>
        </w:rPr>
      </w:lvl>
    </w:lvlOverride>
    <w:lvlOverride w:ilvl="8">
      <w:lvl w:ilvl="8">
        <w:start w:val="1"/>
        <w:numFmt w:val="decimal"/>
        <w:lvlText w:val="%1.%2.%3.%4.%5.%6.%7.%8.%9."/>
        <w:lvlJc w:val="left"/>
        <w:pPr>
          <w:ind w:left="3240" w:hanging="1800"/>
        </w:pPr>
        <w:rPr>
          <w:rFonts w:hint="default"/>
        </w:rPr>
      </w:lvl>
    </w:lvlOverride>
  </w:num>
  <w:num w:numId="8">
    <w:abstractNumId w:val="16"/>
  </w:num>
  <w:num w:numId="9">
    <w:abstractNumId w:val="12"/>
  </w:num>
  <w:num w:numId="10">
    <w:abstractNumId w:val="15"/>
  </w:num>
  <w:num w:numId="11">
    <w:abstractNumId w:val="17"/>
  </w:num>
  <w:num w:numId="12">
    <w:abstractNumId w:val="5"/>
  </w:num>
  <w:num w:numId="13">
    <w:abstractNumId w:val="6"/>
  </w:num>
  <w:num w:numId="14">
    <w:abstractNumId w:val="11"/>
  </w:num>
  <w:num w:numId="15">
    <w:abstractNumId w:val="8"/>
  </w:num>
  <w:num w:numId="16">
    <w:abstractNumId w:val="3"/>
  </w:num>
  <w:num w:numId="17">
    <w:abstractNumId w:val="0"/>
  </w:num>
  <w:num w:numId="18">
    <w:abstractNumId w:val="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4"/>
    <o:shapelayout v:ext="edit">
      <o:idmap v:ext="edit" data="8"/>
      <o:rules v:ext="edit">
        <o:r id="V:Rule2" type="connector" idref="#_x0000_s8193"/>
      </o:rules>
    </o:shapelayout>
  </w:hdrShapeDefaults>
  <w:footnotePr>
    <w:footnote w:id="-1"/>
    <w:footnote w:id="0"/>
  </w:footnotePr>
  <w:endnotePr>
    <w:endnote w:id="-1"/>
    <w:endnote w:id="0"/>
  </w:endnotePr>
  <w:compat/>
  <w:rsids>
    <w:rsidRoot w:val="00753565"/>
    <w:rsid w:val="00010D9C"/>
    <w:rsid w:val="00070441"/>
    <w:rsid w:val="0008545F"/>
    <w:rsid w:val="000D7B58"/>
    <w:rsid w:val="000E33FB"/>
    <w:rsid w:val="001273C6"/>
    <w:rsid w:val="001309D0"/>
    <w:rsid w:val="00130FDE"/>
    <w:rsid w:val="00152B9C"/>
    <w:rsid w:val="00194A8A"/>
    <w:rsid w:val="001C3764"/>
    <w:rsid w:val="001C714A"/>
    <w:rsid w:val="001D19D1"/>
    <w:rsid w:val="001D4404"/>
    <w:rsid w:val="002313A7"/>
    <w:rsid w:val="00233243"/>
    <w:rsid w:val="002916BE"/>
    <w:rsid w:val="00293D34"/>
    <w:rsid w:val="002A0D76"/>
    <w:rsid w:val="002D1B1F"/>
    <w:rsid w:val="0031072C"/>
    <w:rsid w:val="00367A9A"/>
    <w:rsid w:val="00381C95"/>
    <w:rsid w:val="00392E80"/>
    <w:rsid w:val="003B166A"/>
    <w:rsid w:val="003D44FB"/>
    <w:rsid w:val="003F2760"/>
    <w:rsid w:val="003F5D41"/>
    <w:rsid w:val="00414E05"/>
    <w:rsid w:val="00462249"/>
    <w:rsid w:val="00467EF7"/>
    <w:rsid w:val="00475AB7"/>
    <w:rsid w:val="00487F4B"/>
    <w:rsid w:val="005357D5"/>
    <w:rsid w:val="0055149A"/>
    <w:rsid w:val="0056732F"/>
    <w:rsid w:val="00575F5B"/>
    <w:rsid w:val="00576CA1"/>
    <w:rsid w:val="005A127F"/>
    <w:rsid w:val="005A3219"/>
    <w:rsid w:val="005C1C09"/>
    <w:rsid w:val="00632117"/>
    <w:rsid w:val="00643399"/>
    <w:rsid w:val="0065327B"/>
    <w:rsid w:val="00666A42"/>
    <w:rsid w:val="00667AAD"/>
    <w:rsid w:val="006C2BA0"/>
    <w:rsid w:val="006C3351"/>
    <w:rsid w:val="007165C2"/>
    <w:rsid w:val="00744129"/>
    <w:rsid w:val="00753565"/>
    <w:rsid w:val="00771740"/>
    <w:rsid w:val="00792AFB"/>
    <w:rsid w:val="007A134B"/>
    <w:rsid w:val="007A6B9B"/>
    <w:rsid w:val="00805C27"/>
    <w:rsid w:val="00827754"/>
    <w:rsid w:val="00851505"/>
    <w:rsid w:val="00853CEB"/>
    <w:rsid w:val="008640A1"/>
    <w:rsid w:val="008B7B03"/>
    <w:rsid w:val="008C5573"/>
    <w:rsid w:val="008D7C7A"/>
    <w:rsid w:val="008D7D3D"/>
    <w:rsid w:val="008E414B"/>
    <w:rsid w:val="0094377C"/>
    <w:rsid w:val="00975BCF"/>
    <w:rsid w:val="00985442"/>
    <w:rsid w:val="009878A0"/>
    <w:rsid w:val="0099069E"/>
    <w:rsid w:val="00991A34"/>
    <w:rsid w:val="00992B2D"/>
    <w:rsid w:val="009C5225"/>
    <w:rsid w:val="009E4A86"/>
    <w:rsid w:val="00A11107"/>
    <w:rsid w:val="00A45D65"/>
    <w:rsid w:val="00A626D1"/>
    <w:rsid w:val="00A64226"/>
    <w:rsid w:val="00A84507"/>
    <w:rsid w:val="00A85F7C"/>
    <w:rsid w:val="00AA74DC"/>
    <w:rsid w:val="00AB17F6"/>
    <w:rsid w:val="00AC4411"/>
    <w:rsid w:val="00B5651D"/>
    <w:rsid w:val="00B74629"/>
    <w:rsid w:val="00B8039C"/>
    <w:rsid w:val="00B918A6"/>
    <w:rsid w:val="00C43D88"/>
    <w:rsid w:val="00D034C0"/>
    <w:rsid w:val="00D0739C"/>
    <w:rsid w:val="00D07489"/>
    <w:rsid w:val="00D23264"/>
    <w:rsid w:val="00E56E4B"/>
    <w:rsid w:val="00E72D1B"/>
    <w:rsid w:val="00E739A1"/>
    <w:rsid w:val="00EB6E8E"/>
    <w:rsid w:val="00EC7EB7"/>
    <w:rsid w:val="00F024B7"/>
    <w:rsid w:val="00F3766E"/>
    <w:rsid w:val="00F45C35"/>
    <w:rsid w:val="00F91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66E"/>
  </w:style>
  <w:style w:type="paragraph" w:styleId="1">
    <w:name w:val="heading 1"/>
    <w:basedOn w:val="a"/>
    <w:next w:val="a"/>
    <w:link w:val="10"/>
    <w:qFormat/>
    <w:rsid w:val="005C1C09"/>
    <w:pPr>
      <w:keepNext/>
      <w:spacing w:after="0" w:line="260" w:lineRule="exact"/>
      <w:ind w:right="49" w:firstLine="284"/>
      <w:jc w:val="right"/>
      <w:outlineLvl w:val="0"/>
    </w:pPr>
    <w:rPr>
      <w:rFonts w:ascii="Times New Roman" w:eastAsia="Times New Roman" w:hAnsi="Times New Roman" w:cs="Times New Roman"/>
      <w:b/>
      <w:sz w:val="20"/>
      <w:szCs w:val="24"/>
      <w:lang w:eastAsia="ru-RU"/>
    </w:rPr>
  </w:style>
  <w:style w:type="paragraph" w:styleId="3">
    <w:name w:val="heading 3"/>
    <w:basedOn w:val="a"/>
    <w:next w:val="a"/>
    <w:link w:val="30"/>
    <w:uiPriority w:val="9"/>
    <w:semiHidden/>
    <w:unhideWhenUsed/>
    <w:qFormat/>
    <w:rsid w:val="00367A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C09"/>
    <w:rPr>
      <w:rFonts w:ascii="Times New Roman" w:eastAsia="Times New Roman" w:hAnsi="Times New Roman" w:cs="Times New Roman"/>
      <w:b/>
      <w:sz w:val="20"/>
      <w:szCs w:val="24"/>
      <w:lang w:eastAsia="ru-RU"/>
    </w:rPr>
  </w:style>
  <w:style w:type="paragraph" w:styleId="a3">
    <w:name w:val="List Paragraph"/>
    <w:basedOn w:val="a"/>
    <w:uiPriority w:val="34"/>
    <w:qFormat/>
    <w:rsid w:val="0055149A"/>
    <w:pPr>
      <w:ind w:left="720"/>
      <w:contextualSpacing/>
    </w:pPr>
  </w:style>
  <w:style w:type="paragraph" w:styleId="a4">
    <w:name w:val="header"/>
    <w:basedOn w:val="a"/>
    <w:link w:val="a5"/>
    <w:uiPriority w:val="99"/>
    <w:unhideWhenUsed/>
    <w:rsid w:val="00B918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18A6"/>
  </w:style>
  <w:style w:type="paragraph" w:styleId="a6">
    <w:name w:val="footer"/>
    <w:basedOn w:val="a"/>
    <w:link w:val="a7"/>
    <w:unhideWhenUsed/>
    <w:rsid w:val="00B918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18A6"/>
  </w:style>
  <w:style w:type="paragraph" w:styleId="a8">
    <w:name w:val="Body Text"/>
    <w:basedOn w:val="a"/>
    <w:link w:val="11"/>
    <w:rsid w:val="00B918A6"/>
    <w:pPr>
      <w:keepLines/>
      <w:spacing w:before="120" w:after="0" w:line="240" w:lineRule="auto"/>
      <w:jc w:val="both"/>
    </w:pPr>
    <w:rPr>
      <w:rFonts w:ascii="Arial" w:eastAsia="Times New Roman" w:hAnsi="Arial" w:cs="Times New Roman"/>
      <w:sz w:val="20"/>
      <w:szCs w:val="20"/>
      <w:lang w:eastAsia="ru-RU"/>
    </w:rPr>
  </w:style>
  <w:style w:type="character" w:customStyle="1" w:styleId="a9">
    <w:name w:val="Основной текст Знак"/>
    <w:basedOn w:val="a0"/>
    <w:link w:val="a8"/>
    <w:uiPriority w:val="99"/>
    <w:semiHidden/>
    <w:rsid w:val="00B918A6"/>
  </w:style>
  <w:style w:type="character" w:customStyle="1" w:styleId="11">
    <w:name w:val="Основной текст Знак1"/>
    <w:basedOn w:val="a0"/>
    <w:link w:val="a8"/>
    <w:rsid w:val="00B918A6"/>
    <w:rPr>
      <w:rFonts w:ascii="Arial" w:eastAsia="Times New Roman" w:hAnsi="Arial" w:cs="Times New Roman"/>
      <w:sz w:val="20"/>
      <w:szCs w:val="20"/>
      <w:lang w:eastAsia="ru-RU"/>
    </w:rPr>
  </w:style>
  <w:style w:type="paragraph" w:styleId="31">
    <w:name w:val="Body Text 3"/>
    <w:basedOn w:val="a"/>
    <w:link w:val="32"/>
    <w:uiPriority w:val="99"/>
    <w:semiHidden/>
    <w:unhideWhenUsed/>
    <w:rsid w:val="008640A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8640A1"/>
    <w:rPr>
      <w:rFonts w:ascii="Times New Roman" w:eastAsia="Times New Roman" w:hAnsi="Times New Roman" w:cs="Times New Roman"/>
      <w:sz w:val="16"/>
      <w:szCs w:val="16"/>
      <w:lang w:eastAsia="ru-RU"/>
    </w:rPr>
  </w:style>
  <w:style w:type="paragraph" w:customStyle="1" w:styleId="ConsPlusNonformat">
    <w:name w:val="ConsPlusNonformat"/>
    <w:rsid w:val="008640A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640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367A9A"/>
    <w:rPr>
      <w:rFonts w:asciiTheme="majorHAnsi" w:eastAsiaTheme="majorEastAsia" w:hAnsiTheme="majorHAnsi" w:cstheme="majorBidi"/>
      <w:b/>
      <w:bCs/>
      <w:color w:val="4F81BD" w:themeColor="accent1"/>
    </w:rPr>
  </w:style>
  <w:style w:type="paragraph" w:styleId="aa">
    <w:name w:val="footnote text"/>
    <w:basedOn w:val="a"/>
    <w:link w:val="ab"/>
    <w:uiPriority w:val="99"/>
    <w:semiHidden/>
    <w:unhideWhenUsed/>
    <w:rsid w:val="002D1B1F"/>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D1B1F"/>
    <w:rPr>
      <w:rFonts w:ascii="Times New Roman" w:eastAsia="Times New Roman" w:hAnsi="Times New Roman" w:cs="Times New Roman"/>
      <w:sz w:val="20"/>
      <w:szCs w:val="20"/>
      <w:lang w:eastAsia="ru-RU"/>
    </w:rPr>
  </w:style>
  <w:style w:type="character" w:styleId="ac">
    <w:name w:val="footnote reference"/>
    <w:uiPriority w:val="99"/>
    <w:semiHidden/>
    <w:unhideWhenUsed/>
    <w:rsid w:val="002D1B1F"/>
    <w:rPr>
      <w:vertAlign w:val="superscript"/>
    </w:rPr>
  </w:style>
  <w:style w:type="paragraph" w:styleId="12">
    <w:name w:val="index 1"/>
    <w:basedOn w:val="a"/>
    <w:next w:val="a"/>
    <w:autoRedefine/>
    <w:semiHidden/>
    <w:rsid w:val="00AB17F6"/>
    <w:pPr>
      <w:spacing w:after="0" w:line="240" w:lineRule="auto"/>
      <w:ind w:left="240" w:hanging="240"/>
    </w:pPr>
    <w:rPr>
      <w:rFonts w:ascii="Times New Roman" w:eastAsia="Times New Roman" w:hAnsi="Times New Roman" w:cs="Times New Roman"/>
      <w:sz w:val="24"/>
      <w:szCs w:val="24"/>
      <w:lang w:eastAsia="ru-RU"/>
    </w:rPr>
  </w:style>
  <w:style w:type="paragraph" w:customStyle="1" w:styleId="Default">
    <w:name w:val="Default"/>
    <w:rsid w:val="002916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inve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96CB2-2667-4EEB-BAFE-5917200F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1669</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OGrodnikova</dc:creator>
  <cp:lastModifiedBy>OGrodnikova</cp:lastModifiedBy>
  <cp:revision>4</cp:revision>
  <dcterms:created xsi:type="dcterms:W3CDTF">2017-01-10T13:44:00Z</dcterms:created>
  <dcterms:modified xsi:type="dcterms:W3CDTF">2017-04-11T10:59:00Z</dcterms:modified>
</cp:coreProperties>
</file>