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707" w:rsidRPr="00932043" w:rsidRDefault="002A0707" w:rsidP="009F7452">
      <w:pPr>
        <w:pStyle w:val="a3"/>
        <w:ind w:firstLine="6379"/>
        <w:jc w:val="left"/>
        <w:rPr>
          <w:rFonts w:ascii="Times New Roman" w:hAnsi="Times New Roman"/>
          <w:b/>
          <w:bCs/>
          <w:iCs/>
          <w:sz w:val="16"/>
          <w:szCs w:val="16"/>
        </w:rPr>
      </w:pPr>
      <w:r>
        <w:rPr>
          <w:rFonts w:ascii="Times New Roman" w:hAnsi="Times New Roman"/>
          <w:b/>
          <w:bCs/>
          <w:iCs/>
          <w:sz w:val="16"/>
          <w:szCs w:val="16"/>
        </w:rPr>
        <w:t>Приложение №26</w:t>
      </w:r>
    </w:p>
    <w:p w:rsidR="002A0707" w:rsidRDefault="002A0707" w:rsidP="009F7452">
      <w:pPr>
        <w:pStyle w:val="a3"/>
        <w:ind w:left="6379"/>
        <w:jc w:val="left"/>
        <w:rPr>
          <w:rFonts w:ascii="Times New Roman" w:hAnsi="Times New Roman"/>
          <w:b/>
          <w:bCs/>
          <w:iCs/>
          <w:sz w:val="16"/>
          <w:szCs w:val="16"/>
        </w:rPr>
      </w:pPr>
      <w:r>
        <w:rPr>
          <w:rFonts w:ascii="Times New Roman" w:hAnsi="Times New Roman"/>
          <w:b/>
          <w:bCs/>
          <w:iCs/>
          <w:sz w:val="16"/>
          <w:szCs w:val="16"/>
        </w:rPr>
        <w:t xml:space="preserve">к Регламенту оказания </w:t>
      </w:r>
      <w:r w:rsidR="002950EC">
        <w:rPr>
          <w:rFonts w:ascii="Times New Roman" w:hAnsi="Times New Roman"/>
          <w:b/>
          <w:bCs/>
          <w:iCs/>
          <w:sz w:val="16"/>
          <w:szCs w:val="16"/>
        </w:rPr>
        <w:t xml:space="preserve">ПАО </w:t>
      </w:r>
      <w:r>
        <w:rPr>
          <w:rFonts w:ascii="Times New Roman" w:hAnsi="Times New Roman"/>
          <w:b/>
          <w:bCs/>
          <w:iCs/>
          <w:sz w:val="16"/>
          <w:szCs w:val="16"/>
        </w:rPr>
        <w:t>«ИК РУСС-ИНВЕСТ» брокерских услуг</w:t>
      </w:r>
    </w:p>
    <w:p w:rsidR="002A0707" w:rsidRDefault="002A0707" w:rsidP="00B27001">
      <w:pPr>
        <w:pStyle w:val="a3"/>
        <w:ind w:left="6379" w:right="-1"/>
        <w:jc w:val="left"/>
        <w:rPr>
          <w:rFonts w:ascii="Times New Roman" w:hAnsi="Times New Roman"/>
          <w:b/>
          <w:bCs/>
          <w:iCs/>
          <w:sz w:val="16"/>
          <w:szCs w:val="16"/>
        </w:rPr>
      </w:pPr>
      <w:r>
        <w:rPr>
          <w:rFonts w:ascii="Times New Roman" w:hAnsi="Times New Roman"/>
          <w:b/>
          <w:bCs/>
          <w:iCs/>
          <w:sz w:val="16"/>
          <w:szCs w:val="16"/>
        </w:rPr>
        <w:t xml:space="preserve">на рынке ценных бумаг и срочном рынке </w:t>
      </w:r>
    </w:p>
    <w:p w:rsidR="002A0707" w:rsidRDefault="002A0707" w:rsidP="009F7452">
      <w:pPr>
        <w:pStyle w:val="a3"/>
        <w:ind w:firstLine="6379"/>
        <w:jc w:val="left"/>
      </w:pPr>
    </w:p>
    <w:p w:rsidR="001A3CBE" w:rsidRDefault="001A3CBE" w:rsidP="001A3CBE">
      <w:pPr>
        <w:pStyle w:val="a3"/>
        <w:jc w:val="center"/>
        <w:rPr>
          <w:rFonts w:ascii="Times New Roman" w:hAnsi="Times New Roman"/>
          <w:b/>
          <w:bCs/>
          <w:iCs/>
          <w:sz w:val="16"/>
          <w:szCs w:val="16"/>
        </w:rPr>
      </w:pPr>
    </w:p>
    <w:p w:rsidR="00B91EF5" w:rsidRPr="003B5186" w:rsidRDefault="00B91EF5" w:rsidP="003B5186">
      <w:pPr>
        <w:spacing w:after="0" w:line="240" w:lineRule="auto"/>
        <w:jc w:val="center"/>
        <w:rPr>
          <w:rFonts w:ascii="Times New Roman" w:eastAsia="Times New Roman" w:hAnsi="Times New Roman"/>
          <w:b/>
          <w:sz w:val="20"/>
          <w:szCs w:val="20"/>
          <w:lang w:eastAsia="ru-RU"/>
        </w:rPr>
      </w:pPr>
      <w:r w:rsidRPr="003B5186">
        <w:rPr>
          <w:rFonts w:ascii="Times New Roman" w:eastAsia="Times New Roman" w:hAnsi="Times New Roman"/>
          <w:b/>
          <w:sz w:val="20"/>
          <w:szCs w:val="20"/>
          <w:lang w:eastAsia="ru-RU"/>
        </w:rPr>
        <w:t xml:space="preserve">Декларация о рисках приобретения акций в процессе их первичного публичного </w:t>
      </w:r>
    </w:p>
    <w:p w:rsidR="002A0707" w:rsidRPr="003B5186" w:rsidRDefault="00B91EF5" w:rsidP="003B5186">
      <w:pPr>
        <w:spacing w:after="0" w:line="240" w:lineRule="auto"/>
        <w:jc w:val="center"/>
        <w:rPr>
          <w:rFonts w:ascii="Times New Roman" w:eastAsia="Times New Roman" w:hAnsi="Times New Roman"/>
          <w:b/>
          <w:sz w:val="20"/>
          <w:szCs w:val="20"/>
          <w:lang w:eastAsia="ru-RU"/>
        </w:rPr>
      </w:pPr>
      <w:r w:rsidRPr="003B5186">
        <w:rPr>
          <w:rFonts w:ascii="Times New Roman" w:eastAsia="Times New Roman" w:hAnsi="Times New Roman"/>
          <w:b/>
          <w:sz w:val="20"/>
          <w:szCs w:val="20"/>
          <w:lang w:eastAsia="ru-RU"/>
        </w:rPr>
        <w:t>предложения</w:t>
      </w:r>
    </w:p>
    <w:p w:rsidR="003B5186" w:rsidRDefault="003B5186" w:rsidP="00B91EF5">
      <w:pPr>
        <w:pStyle w:val="a3"/>
        <w:jc w:val="center"/>
        <w:rPr>
          <w:rFonts w:ascii="Times New Roman" w:hAnsi="Times New Roman"/>
          <w:b/>
          <w:bCs/>
          <w:iCs/>
          <w:sz w:val="16"/>
          <w:szCs w:val="16"/>
        </w:rPr>
      </w:pP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Цель настоящей декларации — предоставить Вам информацию об основных рисках приобретения акций в процессе их первичного публичного предложения (размещения) (далее - IPO). Данные сделки подходят не всем клиентам, поскольку сопряжены с дополнительными рисками.</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Первичное публичное предложение (размещение) акций (в международной терминологии — «</w:t>
      </w:r>
      <w:proofErr w:type="spellStart"/>
      <w:r w:rsidRPr="003B5186">
        <w:rPr>
          <w:rFonts w:ascii="Times New Roman" w:eastAsia="Times New Roman" w:hAnsi="Times New Roman"/>
          <w:sz w:val="20"/>
          <w:szCs w:val="20"/>
          <w:lang w:eastAsia="ru-RU"/>
        </w:rPr>
        <w:t>initial</w:t>
      </w:r>
      <w:proofErr w:type="spellEnd"/>
      <w:r w:rsidRPr="003B5186">
        <w:rPr>
          <w:rFonts w:ascii="Times New Roman" w:eastAsia="Times New Roman" w:hAnsi="Times New Roman"/>
          <w:sz w:val="20"/>
          <w:szCs w:val="20"/>
          <w:lang w:eastAsia="ru-RU"/>
        </w:rPr>
        <w:t xml:space="preserve"> </w:t>
      </w:r>
      <w:proofErr w:type="spellStart"/>
      <w:r w:rsidRPr="003B5186">
        <w:rPr>
          <w:rFonts w:ascii="Times New Roman" w:eastAsia="Times New Roman" w:hAnsi="Times New Roman"/>
          <w:sz w:val="20"/>
          <w:szCs w:val="20"/>
          <w:lang w:eastAsia="ru-RU"/>
        </w:rPr>
        <w:t>public</w:t>
      </w:r>
      <w:proofErr w:type="spellEnd"/>
      <w:r w:rsidRPr="003B5186">
        <w:rPr>
          <w:rFonts w:ascii="Times New Roman" w:eastAsia="Times New Roman" w:hAnsi="Times New Roman"/>
          <w:sz w:val="20"/>
          <w:szCs w:val="20"/>
          <w:lang w:eastAsia="ru-RU"/>
        </w:rPr>
        <w:t xml:space="preserve"> </w:t>
      </w:r>
      <w:proofErr w:type="spellStart"/>
      <w:r w:rsidRPr="003B5186">
        <w:rPr>
          <w:rFonts w:ascii="Times New Roman" w:eastAsia="Times New Roman" w:hAnsi="Times New Roman"/>
          <w:sz w:val="20"/>
          <w:szCs w:val="20"/>
          <w:lang w:eastAsia="ru-RU"/>
        </w:rPr>
        <w:t>offering</w:t>
      </w:r>
      <w:proofErr w:type="spellEnd"/>
      <w:r w:rsidRPr="003B5186">
        <w:rPr>
          <w:rFonts w:ascii="Times New Roman" w:eastAsia="Times New Roman" w:hAnsi="Times New Roman"/>
          <w:sz w:val="20"/>
          <w:szCs w:val="20"/>
          <w:lang w:eastAsia="ru-RU"/>
        </w:rPr>
        <w:t xml:space="preserve">» или «IPO») означает, что акции впервые предлагаются широкому кругу инвесторов. Акции может продавать сама компания - эмитент, либо один или несколько ее акционеров. </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 xml:space="preserve">Внимательно изучите эмиссионную документацию, в том числе </w:t>
      </w:r>
      <w:bookmarkStart w:id="0" w:name="_GoBack"/>
      <w:bookmarkEnd w:id="0"/>
      <w:r w:rsidRPr="003B5186">
        <w:rPr>
          <w:rFonts w:ascii="Times New Roman" w:eastAsia="Times New Roman" w:hAnsi="Times New Roman"/>
          <w:sz w:val="20"/>
          <w:szCs w:val="20"/>
          <w:lang w:eastAsia="ru-RU"/>
        </w:rPr>
        <w:t>проспект ценных бумаг. Оцените динамику отрасли эмитента, изучите финансовые показатели аналогичных компаний, акции которых уже публично обращаются на рынке ценных бумаг.</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Приобретению акций в процессе IPO присущи общие риски, связанные с операциями на рынке ценных бумаг, со следующими особенностями.</w:t>
      </w:r>
    </w:p>
    <w:p w:rsidR="003B5186" w:rsidRDefault="003B5186" w:rsidP="003B5186">
      <w:pPr>
        <w:spacing w:after="0" w:line="360" w:lineRule="auto"/>
        <w:ind w:firstLine="567"/>
        <w:rPr>
          <w:rFonts w:ascii="Times New Roman" w:hAnsi="Times New Roman"/>
          <w:sz w:val="20"/>
          <w:szCs w:val="20"/>
          <w:lang w:val="en-US"/>
        </w:rPr>
      </w:pPr>
    </w:p>
    <w:p w:rsidR="003B5186" w:rsidRPr="003B5186" w:rsidRDefault="003B5186" w:rsidP="003B5186">
      <w:pPr>
        <w:spacing w:after="0" w:line="360" w:lineRule="auto"/>
        <w:ind w:firstLine="567"/>
        <w:rPr>
          <w:rFonts w:ascii="Times New Roman" w:hAnsi="Times New Roman"/>
          <w:sz w:val="20"/>
          <w:szCs w:val="20"/>
        </w:rPr>
      </w:pPr>
      <w:r w:rsidRPr="003B5186">
        <w:rPr>
          <w:rFonts w:ascii="Times New Roman" w:hAnsi="Times New Roman"/>
          <w:sz w:val="20"/>
          <w:szCs w:val="20"/>
          <w:lang w:val="en-US"/>
        </w:rPr>
        <w:t>I</w:t>
      </w:r>
      <w:r w:rsidRPr="003B5186">
        <w:rPr>
          <w:rFonts w:ascii="Times New Roman" w:hAnsi="Times New Roman"/>
          <w:sz w:val="20"/>
          <w:szCs w:val="20"/>
        </w:rPr>
        <w:t xml:space="preserve">. Рыночные риски </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 xml:space="preserve">Стоимость акций, приобретенных в процессе IPO, может быть подвержена существенным колебаниям: рыночная цена акций после начала торгов может оказаться как существенно выше, так и существенно ниже стоимости их приобретения в процессе IPO. </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Во многих случаях при проведении IPO крупные акционеры компании, выходящей на IPO, принимают на себя обязательство не продавать принадлежащие им акции в течение определенного периода времени после проведения IPO (обычно это называется «lock up – период»). Обратите внимание, что подобные обязательства могут принять на себя не все действующие акционеры, а в случае нарушения таких обязательств крупные продажи акций после проведения IPO, могут снизить их рыночную цену.</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p>
    <w:p w:rsidR="003B5186" w:rsidRPr="003B5186" w:rsidRDefault="003B5186" w:rsidP="003B5186">
      <w:pPr>
        <w:spacing w:after="0" w:line="360" w:lineRule="auto"/>
        <w:ind w:firstLine="567"/>
        <w:rPr>
          <w:rFonts w:ascii="Times New Roman" w:hAnsi="Times New Roman"/>
          <w:sz w:val="20"/>
          <w:szCs w:val="20"/>
          <w:lang w:val="en-US"/>
        </w:rPr>
      </w:pPr>
      <w:r w:rsidRPr="003B5186">
        <w:rPr>
          <w:rFonts w:ascii="Times New Roman" w:hAnsi="Times New Roman"/>
          <w:sz w:val="20"/>
          <w:szCs w:val="20"/>
          <w:lang w:val="en-US"/>
        </w:rPr>
        <w:t xml:space="preserve">II. </w:t>
      </w:r>
      <w:proofErr w:type="spellStart"/>
      <w:r w:rsidRPr="003B5186">
        <w:rPr>
          <w:rFonts w:ascii="Times New Roman" w:hAnsi="Times New Roman"/>
          <w:sz w:val="20"/>
          <w:szCs w:val="20"/>
          <w:lang w:val="en-US"/>
        </w:rPr>
        <w:t>Риски</w:t>
      </w:r>
      <w:proofErr w:type="spellEnd"/>
      <w:r w:rsidRPr="003B5186">
        <w:rPr>
          <w:rFonts w:ascii="Times New Roman" w:hAnsi="Times New Roman"/>
          <w:sz w:val="20"/>
          <w:szCs w:val="20"/>
          <w:lang w:val="en-US"/>
        </w:rPr>
        <w:t xml:space="preserve"> «</w:t>
      </w:r>
      <w:proofErr w:type="spellStart"/>
      <w:r w:rsidRPr="003B5186">
        <w:rPr>
          <w:rFonts w:ascii="Times New Roman" w:hAnsi="Times New Roman"/>
          <w:sz w:val="20"/>
          <w:szCs w:val="20"/>
          <w:lang w:val="en-US"/>
        </w:rPr>
        <w:t>аллокации</w:t>
      </w:r>
      <w:proofErr w:type="spellEnd"/>
      <w:r w:rsidRPr="003B5186">
        <w:rPr>
          <w:rFonts w:ascii="Times New Roman" w:hAnsi="Times New Roman"/>
          <w:sz w:val="20"/>
          <w:szCs w:val="20"/>
          <w:lang w:val="en-US"/>
        </w:rPr>
        <w:t xml:space="preserve">» </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Принимая поручение на покупку акций в процессе IPO, брокер не гарантирует его исполнение. Информация о поступивших заявках передается через организатора IPO продавцу акций и именно он решает, в каком количестве акции будут распределены между инвесторами (обычно это называется «</w:t>
      </w:r>
      <w:proofErr w:type="spellStart"/>
      <w:r w:rsidRPr="003B5186">
        <w:rPr>
          <w:rFonts w:ascii="Times New Roman" w:eastAsia="Times New Roman" w:hAnsi="Times New Roman"/>
          <w:sz w:val="20"/>
          <w:szCs w:val="20"/>
          <w:lang w:eastAsia="ru-RU"/>
        </w:rPr>
        <w:t>аллокацией</w:t>
      </w:r>
      <w:proofErr w:type="spellEnd"/>
      <w:r w:rsidRPr="003B5186">
        <w:rPr>
          <w:rFonts w:ascii="Times New Roman" w:eastAsia="Times New Roman" w:hAnsi="Times New Roman"/>
          <w:sz w:val="20"/>
          <w:szCs w:val="20"/>
          <w:lang w:eastAsia="ru-RU"/>
        </w:rPr>
        <w:t xml:space="preserve">»). Обратите внимание, что Ваше поручение может быть исполнено частично и Вы получите меньшее количество акций, чем изначально собирались приобрести, либо не исполнено вовсе. </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 xml:space="preserve">В случае, если, предполагая невысокую </w:t>
      </w:r>
      <w:proofErr w:type="spellStart"/>
      <w:r w:rsidRPr="003B5186">
        <w:rPr>
          <w:rFonts w:ascii="Times New Roman" w:eastAsia="Times New Roman" w:hAnsi="Times New Roman"/>
          <w:sz w:val="20"/>
          <w:szCs w:val="20"/>
          <w:lang w:eastAsia="ru-RU"/>
        </w:rPr>
        <w:t>аллокацию</w:t>
      </w:r>
      <w:proofErr w:type="spellEnd"/>
      <w:r w:rsidRPr="003B5186">
        <w:rPr>
          <w:rFonts w:ascii="Times New Roman" w:eastAsia="Times New Roman" w:hAnsi="Times New Roman"/>
          <w:sz w:val="20"/>
          <w:szCs w:val="20"/>
          <w:lang w:eastAsia="ru-RU"/>
        </w:rPr>
        <w:t>, Вы используете заемные средства и подаете поручение на приобретение большего количества акций, чем изначально собирались купить, существует риск того, что Ваше поручение будет исполнено в полном объеме и тогда Вы получите большее количество акций, чем изначально планировали.</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В ряде случаев продавцы акций или организаторы IPO ограничивают количество заявок на приобретение акций, которые могут быть поданы инвестором через разных брокеров. Механизм проведения биржевых торгов позволяет отследить количество торговых заявок, поданных в интересах одного инвестора разными брокерами. В случае превышения установленного максимального количества, все Ваши заявки могут остаться без удовлетворения.</w:t>
      </w:r>
    </w:p>
    <w:p w:rsidR="003B5186" w:rsidRPr="003B5186" w:rsidRDefault="003B5186" w:rsidP="003B5186">
      <w:pPr>
        <w:spacing w:after="0" w:line="360" w:lineRule="auto"/>
        <w:ind w:firstLine="567"/>
        <w:jc w:val="center"/>
        <w:rPr>
          <w:rFonts w:ascii="Times New Roman" w:hAnsi="Times New Roman"/>
          <w:sz w:val="20"/>
          <w:szCs w:val="20"/>
          <w:lang w:val="en-US"/>
        </w:rPr>
      </w:pPr>
      <w:r w:rsidRPr="003B5186">
        <w:rPr>
          <w:rFonts w:ascii="Times New Roman" w:hAnsi="Times New Roman"/>
          <w:sz w:val="20"/>
          <w:szCs w:val="20"/>
          <w:lang w:val="en-US"/>
        </w:rPr>
        <w:t>***</w:t>
      </w:r>
    </w:p>
    <w:p w:rsidR="003B5186" w:rsidRP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Учитывая вышеизложенное, мы рекомендуем Вам внимательно рассмотреть вопрос о том, являются ли риски, возникающие при приобретении акций в процессе IPO, приемлемыми для Вас с учетом Ваших инвестиционных целей и финансовых возможностей. Данная декларация не имеет своей целью заставить Вас отказаться от совершения таких сделок, а призвана помочь Вам оценить их риски и ответственно подойти к решению вопроса о выборе Вашей инвестиционной стратегии.</w:t>
      </w:r>
    </w:p>
    <w:p w:rsidR="003B5186" w:rsidRDefault="003B5186" w:rsidP="003B5186">
      <w:pPr>
        <w:spacing w:after="0" w:line="240" w:lineRule="auto"/>
        <w:ind w:firstLine="249"/>
        <w:jc w:val="both"/>
        <w:rPr>
          <w:rFonts w:ascii="Times New Roman" w:eastAsia="Times New Roman" w:hAnsi="Times New Roman"/>
          <w:sz w:val="20"/>
          <w:szCs w:val="20"/>
          <w:lang w:eastAsia="ru-RU"/>
        </w:rPr>
      </w:pPr>
      <w:r w:rsidRPr="003B5186">
        <w:rPr>
          <w:rFonts w:ascii="Times New Roman" w:eastAsia="Times New Roman" w:hAnsi="Times New Roman"/>
          <w:sz w:val="20"/>
          <w:szCs w:val="20"/>
          <w:lang w:eastAsia="ru-RU"/>
        </w:rPr>
        <w:t>Убедитесь, что настоящая декларация о рисках понятна Вам, и при необходимости получите разъяснения у Вашего брокера или консультанта, специализирующегося на соответствующих вопросах.</w:t>
      </w:r>
    </w:p>
    <w:p w:rsidR="003B5186" w:rsidRDefault="003B5186" w:rsidP="003B5186">
      <w:pPr>
        <w:spacing w:after="0" w:line="240" w:lineRule="auto"/>
        <w:ind w:firstLine="249"/>
        <w:jc w:val="both"/>
        <w:rPr>
          <w:rFonts w:ascii="Times New Roman" w:eastAsia="Times New Roman" w:hAnsi="Times New Roman"/>
          <w:sz w:val="20"/>
          <w:szCs w:val="20"/>
          <w:lang w:eastAsia="ru-RU"/>
        </w:rPr>
      </w:pPr>
    </w:p>
    <w:p w:rsidR="003B5186" w:rsidRPr="003B5186" w:rsidRDefault="003B5186" w:rsidP="003B5186">
      <w:pPr>
        <w:spacing w:after="0" w:line="240" w:lineRule="auto"/>
        <w:jc w:val="both"/>
        <w:rPr>
          <w:rFonts w:ascii="Times New Roman" w:eastAsia="Times New Roman" w:hAnsi="Times New Roman"/>
          <w:b/>
          <w:i/>
          <w:iCs/>
          <w:sz w:val="20"/>
          <w:szCs w:val="20"/>
          <w:lang w:eastAsia="ru-RU"/>
        </w:rPr>
      </w:pPr>
      <w:r w:rsidRPr="003B5186">
        <w:rPr>
          <w:rFonts w:ascii="Times New Roman" w:eastAsia="Times New Roman" w:hAnsi="Times New Roman"/>
          <w:b/>
          <w:i/>
          <w:iCs/>
          <w:sz w:val="20"/>
          <w:szCs w:val="20"/>
          <w:lang w:eastAsia="ru-RU"/>
        </w:rPr>
        <w:t>Подача Клиентом заявления о присоединении к Соглашению об обслуживании на рынке ценных бумаг и срочном рынке / Договору на ведение индивидуального инвестиционного счета</w:t>
      </w:r>
      <w:r w:rsidRPr="003B5186">
        <w:rPr>
          <w:rFonts w:ascii="Arial" w:eastAsia="Times New Roman" w:hAnsi="Arial"/>
          <w:b/>
          <w:i/>
          <w:sz w:val="16"/>
          <w:szCs w:val="16"/>
          <w:lang w:eastAsia="ru-RU"/>
        </w:rPr>
        <w:t xml:space="preserve"> с</w:t>
      </w:r>
      <w:r w:rsidRPr="003B5186" w:rsidDel="00D168E5">
        <w:rPr>
          <w:rFonts w:ascii="Times New Roman" w:eastAsia="Times New Roman" w:hAnsi="Times New Roman"/>
          <w:b/>
          <w:i/>
          <w:iCs/>
          <w:sz w:val="20"/>
          <w:szCs w:val="20"/>
          <w:lang w:eastAsia="ru-RU"/>
        </w:rPr>
        <w:t xml:space="preserve"> </w:t>
      </w:r>
      <w:r w:rsidRPr="003B5186">
        <w:rPr>
          <w:rFonts w:ascii="Times New Roman" w:eastAsia="Times New Roman" w:hAnsi="Times New Roman"/>
          <w:b/>
          <w:i/>
          <w:iCs/>
          <w:sz w:val="20"/>
          <w:szCs w:val="20"/>
          <w:lang w:eastAsia="ru-RU"/>
        </w:rPr>
        <w:t>ПАО «ИК РУСС-ИНВЕСТ» означает, что Клиент ознакомился с настоящей Декларацией.</w:t>
      </w:r>
    </w:p>
    <w:p w:rsidR="003B5186" w:rsidRPr="003B5186" w:rsidRDefault="003B5186" w:rsidP="003B5186">
      <w:pPr>
        <w:spacing w:after="0" w:line="240" w:lineRule="auto"/>
        <w:jc w:val="both"/>
        <w:rPr>
          <w:rFonts w:ascii="Times New Roman" w:eastAsia="Times New Roman" w:hAnsi="Times New Roman"/>
          <w:b/>
          <w:i/>
          <w:iCs/>
          <w:sz w:val="20"/>
          <w:szCs w:val="20"/>
          <w:lang w:eastAsia="ru-RU"/>
        </w:rPr>
      </w:pPr>
    </w:p>
    <w:p w:rsidR="00DD0736" w:rsidRPr="001A3CBE" w:rsidRDefault="003B5186" w:rsidP="003B5186">
      <w:pPr>
        <w:spacing w:after="0" w:line="240" w:lineRule="auto"/>
        <w:jc w:val="both"/>
        <w:rPr>
          <w:rFonts w:ascii="Times New Roman" w:hAnsi="Times New Roman"/>
          <w:b/>
          <w:bCs/>
          <w:iCs/>
          <w:sz w:val="16"/>
          <w:szCs w:val="16"/>
        </w:rPr>
      </w:pPr>
      <w:r w:rsidRPr="003B5186">
        <w:rPr>
          <w:rFonts w:ascii="Times New Roman" w:eastAsia="Times New Roman" w:hAnsi="Times New Roman"/>
          <w:b/>
          <w:i/>
          <w:iCs/>
          <w:sz w:val="20"/>
          <w:szCs w:val="20"/>
          <w:lang w:eastAsia="ru-RU"/>
        </w:rPr>
        <w:t xml:space="preserve">Настоящая Декларация, как Приложение № </w:t>
      </w:r>
      <w:r>
        <w:rPr>
          <w:rFonts w:ascii="Times New Roman" w:eastAsia="Times New Roman" w:hAnsi="Times New Roman"/>
          <w:b/>
          <w:i/>
          <w:iCs/>
          <w:sz w:val="20"/>
          <w:szCs w:val="20"/>
          <w:lang w:eastAsia="ru-RU"/>
        </w:rPr>
        <w:t>26</w:t>
      </w:r>
      <w:r w:rsidRPr="003B5186">
        <w:rPr>
          <w:rFonts w:ascii="Times New Roman" w:eastAsia="Times New Roman" w:hAnsi="Times New Roman"/>
          <w:b/>
          <w:i/>
          <w:iCs/>
          <w:sz w:val="20"/>
          <w:szCs w:val="20"/>
          <w:lang w:eastAsia="ru-RU"/>
        </w:rPr>
        <w:t xml:space="preserve"> к Регламенту, размещается Брокером также на Веб-сайте Брокера по адресу </w:t>
      </w:r>
      <w:hyperlink r:id="rId6" w:history="1">
        <w:r w:rsidRPr="003B5186">
          <w:rPr>
            <w:rFonts w:ascii="Times New Roman" w:eastAsia="Times New Roman" w:hAnsi="Times New Roman"/>
            <w:b/>
            <w:i/>
            <w:iCs/>
            <w:sz w:val="20"/>
            <w:szCs w:val="20"/>
            <w:lang w:eastAsia="ru-RU"/>
          </w:rPr>
          <w:t>www.russ-invest.com</w:t>
        </w:r>
      </w:hyperlink>
      <w:r w:rsidRPr="003B5186">
        <w:rPr>
          <w:rFonts w:ascii="Times New Roman" w:eastAsia="Times New Roman" w:hAnsi="Times New Roman"/>
          <w:b/>
          <w:i/>
          <w:iCs/>
          <w:sz w:val="20"/>
          <w:szCs w:val="20"/>
          <w:lang w:eastAsia="ru-RU"/>
        </w:rPr>
        <w:t xml:space="preserve"> и доступна в информационно-телекоммуникационной сети «Интернет» для ознакомления всеми Клиентами.</w:t>
      </w:r>
    </w:p>
    <w:sectPr w:rsidR="00DD0736" w:rsidRPr="001A3CBE" w:rsidSect="003B5186">
      <w:headerReference w:type="default" r:id="rId7"/>
      <w:pgSz w:w="11906" w:h="16838"/>
      <w:pgMar w:top="747" w:right="850" w:bottom="709" w:left="1276"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0EB" w:rsidRDefault="002000EB" w:rsidP="00571A69">
      <w:pPr>
        <w:spacing w:after="0" w:line="240" w:lineRule="auto"/>
      </w:pPr>
      <w:r>
        <w:separator/>
      </w:r>
    </w:p>
  </w:endnote>
  <w:endnote w:type="continuationSeparator" w:id="0">
    <w:p w:rsidR="002000EB" w:rsidRDefault="002000EB" w:rsidP="0057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0EB" w:rsidRDefault="002000EB" w:rsidP="00571A69">
      <w:pPr>
        <w:spacing w:after="0" w:line="240" w:lineRule="auto"/>
      </w:pPr>
      <w:r>
        <w:separator/>
      </w:r>
    </w:p>
  </w:footnote>
  <w:footnote w:type="continuationSeparator" w:id="0">
    <w:p w:rsidR="002000EB" w:rsidRDefault="002000EB" w:rsidP="00571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0EB" w:rsidRDefault="002950EC" w:rsidP="00571A69">
    <w:pPr>
      <w:pStyle w:val="a3"/>
      <w:pBdr>
        <w:bottom w:val="single" w:sz="4" w:space="1" w:color="auto"/>
      </w:pBdr>
      <w:jc w:val="center"/>
      <w:rPr>
        <w:i/>
        <w:sz w:val="16"/>
      </w:rPr>
    </w:pPr>
    <w:r>
      <w:rPr>
        <w:i/>
        <w:sz w:val="16"/>
      </w:rPr>
      <w:t xml:space="preserve">Публичное </w:t>
    </w:r>
    <w:r w:rsidR="002000EB">
      <w:rPr>
        <w:i/>
        <w:sz w:val="16"/>
      </w:rPr>
      <w:t>акционерное общество «ИНВЕСТИЦИОННАЯ КОМПАНИЯ ИК РУСС-ИНВЕСТ»</w:t>
    </w:r>
  </w:p>
  <w:p w:rsidR="002000EB" w:rsidRDefault="002000EB" w:rsidP="00571A6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2BC"/>
    <w:rsid w:val="00013978"/>
    <w:rsid w:val="000148C0"/>
    <w:rsid w:val="00082492"/>
    <w:rsid w:val="001035DE"/>
    <w:rsid w:val="00126D97"/>
    <w:rsid w:val="0014453A"/>
    <w:rsid w:val="00152314"/>
    <w:rsid w:val="00191DAA"/>
    <w:rsid w:val="001A3CBE"/>
    <w:rsid w:val="001F119B"/>
    <w:rsid w:val="002000EB"/>
    <w:rsid w:val="00214D4E"/>
    <w:rsid w:val="00253BBC"/>
    <w:rsid w:val="00260911"/>
    <w:rsid w:val="002950EC"/>
    <w:rsid w:val="002A0707"/>
    <w:rsid w:val="002A61DD"/>
    <w:rsid w:val="002B45D0"/>
    <w:rsid w:val="002C1BB1"/>
    <w:rsid w:val="002C37F7"/>
    <w:rsid w:val="002D3579"/>
    <w:rsid w:val="00322034"/>
    <w:rsid w:val="003329B6"/>
    <w:rsid w:val="00364417"/>
    <w:rsid w:val="00370CC0"/>
    <w:rsid w:val="003B5186"/>
    <w:rsid w:val="004E358E"/>
    <w:rsid w:val="00571A69"/>
    <w:rsid w:val="00584985"/>
    <w:rsid w:val="00594F47"/>
    <w:rsid w:val="005A0525"/>
    <w:rsid w:val="005A0973"/>
    <w:rsid w:val="005F3809"/>
    <w:rsid w:val="005F48A9"/>
    <w:rsid w:val="00610A82"/>
    <w:rsid w:val="00630D9C"/>
    <w:rsid w:val="0063239E"/>
    <w:rsid w:val="00635809"/>
    <w:rsid w:val="00686DF1"/>
    <w:rsid w:val="006E5FEA"/>
    <w:rsid w:val="00732815"/>
    <w:rsid w:val="007367D2"/>
    <w:rsid w:val="00740A11"/>
    <w:rsid w:val="00750163"/>
    <w:rsid w:val="00750176"/>
    <w:rsid w:val="007C3E7F"/>
    <w:rsid w:val="007F19A3"/>
    <w:rsid w:val="00824D8E"/>
    <w:rsid w:val="00846785"/>
    <w:rsid w:val="00862DFA"/>
    <w:rsid w:val="008649EF"/>
    <w:rsid w:val="0088140F"/>
    <w:rsid w:val="00897165"/>
    <w:rsid w:val="008B420B"/>
    <w:rsid w:val="008B4535"/>
    <w:rsid w:val="008B7C48"/>
    <w:rsid w:val="008D726C"/>
    <w:rsid w:val="008E18E6"/>
    <w:rsid w:val="008E1E5E"/>
    <w:rsid w:val="008E4792"/>
    <w:rsid w:val="00916FF7"/>
    <w:rsid w:val="00926F38"/>
    <w:rsid w:val="00932043"/>
    <w:rsid w:val="00955DB0"/>
    <w:rsid w:val="00991F77"/>
    <w:rsid w:val="009A346F"/>
    <w:rsid w:val="009E1A7B"/>
    <w:rsid w:val="009F4D18"/>
    <w:rsid w:val="009F7452"/>
    <w:rsid w:val="00A07F3D"/>
    <w:rsid w:val="00A33AEC"/>
    <w:rsid w:val="00A35BE6"/>
    <w:rsid w:val="00A42249"/>
    <w:rsid w:val="00A64295"/>
    <w:rsid w:val="00A772E1"/>
    <w:rsid w:val="00B127E9"/>
    <w:rsid w:val="00B14109"/>
    <w:rsid w:val="00B27001"/>
    <w:rsid w:val="00B30FED"/>
    <w:rsid w:val="00B91EF5"/>
    <w:rsid w:val="00BA2F9B"/>
    <w:rsid w:val="00BB6DD0"/>
    <w:rsid w:val="00BD500C"/>
    <w:rsid w:val="00BE6684"/>
    <w:rsid w:val="00C0578C"/>
    <w:rsid w:val="00C142BC"/>
    <w:rsid w:val="00C204AE"/>
    <w:rsid w:val="00C72924"/>
    <w:rsid w:val="00CC7061"/>
    <w:rsid w:val="00CE37E3"/>
    <w:rsid w:val="00CF5266"/>
    <w:rsid w:val="00D37D3F"/>
    <w:rsid w:val="00D616C7"/>
    <w:rsid w:val="00DC573F"/>
    <w:rsid w:val="00DD0736"/>
    <w:rsid w:val="00DD4A76"/>
    <w:rsid w:val="00E37544"/>
    <w:rsid w:val="00E837E3"/>
    <w:rsid w:val="00EB79C0"/>
    <w:rsid w:val="00F00B3A"/>
    <w:rsid w:val="00F4510C"/>
    <w:rsid w:val="00F45B6A"/>
    <w:rsid w:val="00F520C9"/>
    <w:rsid w:val="00F96FEF"/>
    <w:rsid w:val="00FB7F2C"/>
    <w:rsid w:val="00FC3982"/>
    <w:rsid w:val="00FF2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70C7A9-3E29-46FC-8304-E5CEC192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BB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F7452"/>
    <w:pPr>
      <w:overflowPunct w:val="0"/>
      <w:autoSpaceDE w:val="0"/>
      <w:autoSpaceDN w:val="0"/>
      <w:adjustRightInd w:val="0"/>
      <w:spacing w:after="0" w:line="240" w:lineRule="auto"/>
      <w:jc w:val="both"/>
      <w:textAlignment w:val="baseline"/>
    </w:pPr>
    <w:rPr>
      <w:rFonts w:ascii="Arial" w:eastAsia="Times New Roman" w:hAnsi="Arial"/>
      <w:sz w:val="20"/>
      <w:szCs w:val="20"/>
      <w:lang w:eastAsia="ru-RU"/>
    </w:rPr>
  </w:style>
  <w:style w:type="character" w:customStyle="1" w:styleId="a4">
    <w:name w:val="Основной текст Знак"/>
    <w:basedOn w:val="a0"/>
    <w:link w:val="a3"/>
    <w:uiPriority w:val="99"/>
    <w:locked/>
    <w:rsid w:val="009F7452"/>
    <w:rPr>
      <w:rFonts w:ascii="Arial" w:hAnsi="Arial" w:cs="Times New Roman"/>
      <w:sz w:val="20"/>
      <w:szCs w:val="20"/>
      <w:lang w:eastAsia="ru-RU"/>
    </w:rPr>
  </w:style>
  <w:style w:type="paragraph" w:styleId="a5">
    <w:name w:val="List Paragraph"/>
    <w:basedOn w:val="a"/>
    <w:uiPriority w:val="99"/>
    <w:qFormat/>
    <w:rsid w:val="00E37544"/>
    <w:pPr>
      <w:ind w:left="720"/>
      <w:contextualSpacing/>
    </w:pPr>
  </w:style>
  <w:style w:type="paragraph" w:customStyle="1" w:styleId="Default">
    <w:name w:val="Default"/>
    <w:uiPriority w:val="99"/>
    <w:rsid w:val="008E4792"/>
    <w:pPr>
      <w:autoSpaceDE w:val="0"/>
      <w:autoSpaceDN w:val="0"/>
      <w:adjustRightInd w:val="0"/>
    </w:pPr>
    <w:rPr>
      <w:rFonts w:ascii="Times New Roman" w:hAnsi="Times New Roman"/>
      <w:color w:val="000000"/>
      <w:sz w:val="24"/>
      <w:szCs w:val="24"/>
    </w:rPr>
  </w:style>
  <w:style w:type="paragraph" w:styleId="a6">
    <w:name w:val="Balloon Text"/>
    <w:basedOn w:val="a"/>
    <w:link w:val="a7"/>
    <w:uiPriority w:val="99"/>
    <w:semiHidden/>
    <w:rsid w:val="008E47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8E4792"/>
    <w:rPr>
      <w:rFonts w:ascii="Tahoma" w:hAnsi="Tahoma" w:cs="Tahoma"/>
      <w:sz w:val="16"/>
      <w:szCs w:val="16"/>
      <w:lang w:eastAsia="en-US"/>
    </w:rPr>
  </w:style>
  <w:style w:type="paragraph" w:styleId="2">
    <w:name w:val="Body Text Indent 2"/>
    <w:basedOn w:val="a"/>
    <w:link w:val="20"/>
    <w:uiPriority w:val="99"/>
    <w:semiHidden/>
    <w:rsid w:val="00CE37E3"/>
    <w:pPr>
      <w:spacing w:after="120" w:line="480" w:lineRule="auto"/>
      <w:ind w:left="283"/>
    </w:pPr>
  </w:style>
  <w:style w:type="character" w:customStyle="1" w:styleId="20">
    <w:name w:val="Основной текст с отступом 2 Знак"/>
    <w:basedOn w:val="a0"/>
    <w:link w:val="2"/>
    <w:uiPriority w:val="99"/>
    <w:semiHidden/>
    <w:locked/>
    <w:rsid w:val="00CE37E3"/>
    <w:rPr>
      <w:rFonts w:cs="Times New Roman"/>
      <w:lang w:eastAsia="en-US"/>
    </w:rPr>
  </w:style>
  <w:style w:type="paragraph" w:styleId="a8">
    <w:name w:val="header"/>
    <w:basedOn w:val="a"/>
    <w:link w:val="a9"/>
    <w:uiPriority w:val="99"/>
    <w:unhideWhenUsed/>
    <w:rsid w:val="00571A69"/>
    <w:pPr>
      <w:tabs>
        <w:tab w:val="center" w:pos="4677"/>
        <w:tab w:val="right" w:pos="9355"/>
      </w:tabs>
    </w:pPr>
  </w:style>
  <w:style w:type="character" w:customStyle="1" w:styleId="a9">
    <w:name w:val="Верхний колонтитул Знак"/>
    <w:basedOn w:val="a0"/>
    <w:link w:val="a8"/>
    <w:uiPriority w:val="99"/>
    <w:rsid w:val="00571A69"/>
    <w:rPr>
      <w:lang w:eastAsia="en-US"/>
    </w:rPr>
  </w:style>
  <w:style w:type="paragraph" w:styleId="aa">
    <w:name w:val="footer"/>
    <w:basedOn w:val="a"/>
    <w:link w:val="ab"/>
    <w:uiPriority w:val="99"/>
    <w:semiHidden/>
    <w:unhideWhenUsed/>
    <w:rsid w:val="00571A69"/>
    <w:pPr>
      <w:tabs>
        <w:tab w:val="center" w:pos="4677"/>
        <w:tab w:val="right" w:pos="9355"/>
      </w:tabs>
    </w:pPr>
  </w:style>
  <w:style w:type="character" w:customStyle="1" w:styleId="ab">
    <w:name w:val="Нижний колонтитул Знак"/>
    <w:basedOn w:val="a0"/>
    <w:link w:val="aa"/>
    <w:uiPriority w:val="99"/>
    <w:semiHidden/>
    <w:rsid w:val="00571A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ss-inves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629</Words>
  <Characters>3589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 №25</vt:lpstr>
    </vt:vector>
  </TitlesOfParts>
  <Company>Hewlett-Packard Company</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subject/>
  <dc:creator>OGrodnikova</dc:creator>
  <cp:keywords/>
  <dc:description/>
  <cp:lastModifiedBy>Grodnikova Oksana</cp:lastModifiedBy>
  <cp:revision>28</cp:revision>
  <cp:lastPrinted>2018-11-19T13:22:00Z</cp:lastPrinted>
  <dcterms:created xsi:type="dcterms:W3CDTF">2013-08-08T10:33:00Z</dcterms:created>
  <dcterms:modified xsi:type="dcterms:W3CDTF">2025-10-21T10:28:00Z</dcterms:modified>
</cp:coreProperties>
</file>