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09" w:rsidRPr="001F648C" w:rsidRDefault="005C1C09" w:rsidP="00130FDE">
      <w:pPr>
        <w:pStyle w:val="1"/>
        <w:spacing w:line="240" w:lineRule="auto"/>
        <w:ind w:right="0" w:firstLine="0"/>
        <w:rPr>
          <w:rFonts w:ascii="Arial" w:hAnsi="Arial" w:cs="Arial"/>
          <w:sz w:val="16"/>
          <w:szCs w:val="16"/>
        </w:rPr>
      </w:pPr>
      <w:r w:rsidRPr="001F648C">
        <w:rPr>
          <w:rFonts w:ascii="Arial" w:hAnsi="Arial" w:cs="Arial"/>
          <w:sz w:val="16"/>
          <w:szCs w:val="16"/>
        </w:rPr>
        <w:t>Приложение №</w:t>
      </w:r>
      <w:r w:rsidR="00667AAD" w:rsidRPr="001F648C">
        <w:rPr>
          <w:rFonts w:ascii="Arial" w:hAnsi="Arial" w:cs="Arial"/>
          <w:sz w:val="16"/>
          <w:szCs w:val="16"/>
        </w:rPr>
        <w:t xml:space="preserve"> 2</w:t>
      </w:r>
      <w:r w:rsidR="00102CEB">
        <w:rPr>
          <w:rFonts w:ascii="Arial" w:hAnsi="Arial" w:cs="Arial"/>
          <w:sz w:val="16"/>
          <w:szCs w:val="16"/>
        </w:rPr>
        <w:t>в</w:t>
      </w:r>
    </w:p>
    <w:p w:rsidR="005C1C09" w:rsidRPr="001F648C" w:rsidRDefault="008640A1" w:rsidP="00130FDE">
      <w:pPr>
        <w:pStyle w:val="1"/>
        <w:spacing w:line="240" w:lineRule="auto"/>
        <w:ind w:right="0" w:firstLine="0"/>
        <w:rPr>
          <w:rFonts w:ascii="Arial" w:hAnsi="Arial" w:cs="Arial"/>
          <w:sz w:val="16"/>
          <w:szCs w:val="16"/>
        </w:rPr>
      </w:pPr>
      <w:r w:rsidRPr="001F648C">
        <w:rPr>
          <w:rFonts w:ascii="Arial" w:hAnsi="Arial" w:cs="Arial"/>
          <w:sz w:val="16"/>
          <w:szCs w:val="16"/>
        </w:rPr>
        <w:t>к</w:t>
      </w:r>
      <w:r w:rsidR="005C1C09" w:rsidRPr="001F648C">
        <w:rPr>
          <w:rFonts w:ascii="Arial" w:hAnsi="Arial" w:cs="Arial"/>
          <w:sz w:val="16"/>
          <w:szCs w:val="16"/>
        </w:rPr>
        <w:t xml:space="preserve"> </w:t>
      </w:r>
      <w:r w:rsidRPr="001F648C">
        <w:rPr>
          <w:rFonts w:ascii="Arial" w:hAnsi="Arial" w:cs="Arial"/>
          <w:sz w:val="16"/>
          <w:szCs w:val="16"/>
        </w:rPr>
        <w:t>Регламенту</w:t>
      </w:r>
      <w:r w:rsidR="005C1C09" w:rsidRPr="001F648C">
        <w:rPr>
          <w:rFonts w:ascii="Arial" w:hAnsi="Arial" w:cs="Arial"/>
          <w:sz w:val="16"/>
          <w:szCs w:val="16"/>
        </w:rPr>
        <w:t xml:space="preserve"> доверительного управления ценными бумагами</w:t>
      </w:r>
    </w:p>
    <w:p w:rsidR="005C1C09" w:rsidRPr="001F648C" w:rsidRDefault="005C1C09" w:rsidP="00130FDE">
      <w:pPr>
        <w:pStyle w:val="1"/>
        <w:spacing w:line="240" w:lineRule="auto"/>
        <w:ind w:right="0" w:firstLine="0"/>
        <w:rPr>
          <w:rFonts w:ascii="Arial" w:hAnsi="Arial" w:cs="Arial"/>
          <w:sz w:val="16"/>
          <w:szCs w:val="16"/>
        </w:rPr>
      </w:pPr>
      <w:r w:rsidRPr="001F648C">
        <w:rPr>
          <w:rFonts w:ascii="Arial" w:hAnsi="Arial" w:cs="Arial"/>
          <w:sz w:val="16"/>
          <w:szCs w:val="16"/>
        </w:rPr>
        <w:t xml:space="preserve"> и средствами инвестирован</w:t>
      </w:r>
      <w:r w:rsidR="001C3764" w:rsidRPr="001F648C">
        <w:rPr>
          <w:rFonts w:ascii="Arial" w:hAnsi="Arial" w:cs="Arial"/>
          <w:sz w:val="16"/>
          <w:szCs w:val="16"/>
        </w:rPr>
        <w:t>ия</w:t>
      </w:r>
      <w:r w:rsidRPr="001F648C">
        <w:rPr>
          <w:rFonts w:ascii="Arial" w:hAnsi="Arial" w:cs="Arial"/>
          <w:sz w:val="16"/>
          <w:szCs w:val="16"/>
        </w:rPr>
        <w:t xml:space="preserve"> в ценные бумаги </w:t>
      </w:r>
    </w:p>
    <w:p w:rsidR="008640A1" w:rsidRPr="001F648C" w:rsidRDefault="005C1C09" w:rsidP="00130FDE">
      <w:pPr>
        <w:pStyle w:val="1"/>
        <w:spacing w:line="240" w:lineRule="auto"/>
        <w:ind w:right="0" w:firstLine="0"/>
        <w:rPr>
          <w:rFonts w:ascii="Arial" w:hAnsi="Arial" w:cs="Arial"/>
          <w:sz w:val="16"/>
          <w:szCs w:val="16"/>
        </w:rPr>
      </w:pPr>
      <w:r w:rsidRPr="001F648C">
        <w:rPr>
          <w:rFonts w:ascii="Arial" w:hAnsi="Arial" w:cs="Arial"/>
          <w:sz w:val="16"/>
          <w:szCs w:val="16"/>
        </w:rPr>
        <w:t>и производные финансовые инструменты</w:t>
      </w:r>
      <w:r w:rsidR="008640A1" w:rsidRPr="001F648C">
        <w:rPr>
          <w:rFonts w:ascii="Arial" w:hAnsi="Arial" w:cs="Arial"/>
          <w:sz w:val="16"/>
          <w:szCs w:val="16"/>
        </w:rPr>
        <w:t xml:space="preserve"> </w:t>
      </w:r>
    </w:p>
    <w:p w:rsidR="005C1C09" w:rsidRPr="001F648C" w:rsidRDefault="001E598A" w:rsidP="00130FDE">
      <w:pPr>
        <w:pStyle w:val="1"/>
        <w:spacing w:line="240" w:lineRule="auto"/>
        <w:ind w:right="0" w:firstLine="0"/>
        <w:rPr>
          <w:rFonts w:ascii="Arial" w:hAnsi="Arial" w:cs="Arial"/>
          <w:sz w:val="16"/>
          <w:szCs w:val="16"/>
        </w:rPr>
      </w:pPr>
      <w:r>
        <w:rPr>
          <w:rFonts w:ascii="Arial" w:hAnsi="Arial" w:cs="Arial"/>
          <w:sz w:val="16"/>
          <w:szCs w:val="16"/>
        </w:rPr>
        <w:t>П</w:t>
      </w:r>
      <w:r w:rsidR="008640A1" w:rsidRPr="001F648C">
        <w:rPr>
          <w:rFonts w:ascii="Arial" w:hAnsi="Arial" w:cs="Arial"/>
          <w:sz w:val="16"/>
          <w:szCs w:val="16"/>
        </w:rPr>
        <w:t>АО «ИК РУСС-ИНВЕСТ»</w:t>
      </w:r>
    </w:p>
    <w:p w:rsidR="008640A1" w:rsidRPr="001F648C" w:rsidRDefault="008640A1" w:rsidP="008640A1">
      <w:pPr>
        <w:pStyle w:val="31"/>
        <w:ind w:firstLine="720"/>
        <w:jc w:val="center"/>
        <w:rPr>
          <w:rFonts w:ascii="Arial" w:hAnsi="Arial" w:cs="Arial"/>
          <w:b/>
          <w:bCs/>
        </w:rPr>
      </w:pPr>
    </w:p>
    <w:p w:rsidR="005A1561" w:rsidRPr="00087578" w:rsidRDefault="005A1561" w:rsidP="00087578">
      <w:pPr>
        <w:pStyle w:val="a3"/>
        <w:autoSpaceDE w:val="0"/>
        <w:autoSpaceDN w:val="0"/>
        <w:adjustRightInd w:val="0"/>
        <w:spacing w:after="0" w:line="240" w:lineRule="auto"/>
        <w:jc w:val="center"/>
        <w:rPr>
          <w:rFonts w:ascii="Arial,Bold" w:hAnsi="Arial,Bold" w:cs="Arial,Bold"/>
          <w:b/>
          <w:bCs/>
          <w:color w:val="000000"/>
          <w:sz w:val="20"/>
          <w:szCs w:val="20"/>
        </w:rPr>
      </w:pPr>
      <w:r w:rsidRPr="00087578">
        <w:rPr>
          <w:rFonts w:ascii="Arial,Bold" w:hAnsi="Arial,Bold" w:cs="Arial,Bold"/>
          <w:b/>
          <w:bCs/>
          <w:color w:val="000000"/>
          <w:sz w:val="20"/>
          <w:szCs w:val="20"/>
        </w:rPr>
        <w:t>Декларация о рисках</w:t>
      </w:r>
      <w:r w:rsidR="009614E5">
        <w:rPr>
          <w:rFonts w:ascii="Arial,Bold" w:hAnsi="Arial,Bold" w:cs="Arial,Bold"/>
          <w:b/>
          <w:bCs/>
          <w:color w:val="000000"/>
          <w:sz w:val="20"/>
          <w:szCs w:val="20"/>
        </w:rPr>
        <w:t>,</w:t>
      </w:r>
      <w:r w:rsidRPr="00087578">
        <w:rPr>
          <w:rFonts w:ascii="Arial,Bold" w:hAnsi="Arial,Bold" w:cs="Arial,Bold"/>
          <w:b/>
          <w:bCs/>
          <w:color w:val="000000"/>
          <w:sz w:val="20"/>
          <w:szCs w:val="20"/>
        </w:rPr>
        <w:t xml:space="preserve"> связанных с производными финансовыми инструментами</w:t>
      </w:r>
    </w:p>
    <w:p w:rsidR="005A1561" w:rsidRPr="00925EB5" w:rsidRDefault="005A1561" w:rsidP="005A1561">
      <w:pPr>
        <w:ind w:right="382"/>
        <w:jc w:val="both"/>
        <w:rPr>
          <w:rFonts w:ascii="Arial" w:hAnsi="Arial" w:cs="Arial"/>
          <w:sz w:val="16"/>
          <w:szCs w:val="16"/>
        </w:rPr>
      </w:pPr>
    </w:p>
    <w:p w:rsidR="005A1561" w:rsidRPr="00087578" w:rsidRDefault="005A1561" w:rsidP="005A1561">
      <w:pPr>
        <w:ind w:right="-2" w:firstLine="426"/>
        <w:jc w:val="both"/>
        <w:rPr>
          <w:rFonts w:ascii="Arial" w:hAnsi="Arial" w:cs="Arial"/>
          <w:sz w:val="20"/>
          <w:szCs w:val="20"/>
        </w:rPr>
      </w:pPr>
      <w:r w:rsidRPr="00087578">
        <w:rPr>
          <w:rFonts w:ascii="Arial" w:hAnsi="Arial" w:cs="Arial"/>
          <w:b/>
          <w:sz w:val="20"/>
          <w:szCs w:val="20"/>
        </w:rPr>
        <w:t>Цель настоящей Декларации</w:t>
      </w:r>
      <w:r w:rsidRPr="00087578">
        <w:rPr>
          <w:rFonts w:ascii="Arial" w:hAnsi="Arial" w:cs="Arial"/>
          <w:sz w:val="20"/>
          <w:szCs w:val="20"/>
        </w:rPr>
        <w:t xml:space="preserve"> — предоставить вам информацию об основных рисках, связанных с производными финансовыми инструментами.</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 xml:space="preserve">Данные инструменты (фьючерсы, форварды, опционы, свопы и др.) подходят не всем клиентам. Более того, некоторые виды производных финансовых инструментов сопряжены с </w:t>
      </w:r>
      <w:proofErr w:type="spellStart"/>
      <w:proofErr w:type="gramStart"/>
      <w:r w:rsidRPr="00087578">
        <w:rPr>
          <w:rFonts w:ascii="Arial" w:hAnsi="Arial" w:cs="Arial"/>
          <w:sz w:val="20"/>
          <w:szCs w:val="20"/>
        </w:rPr>
        <w:t>бо́льшим</w:t>
      </w:r>
      <w:proofErr w:type="spellEnd"/>
      <w:proofErr w:type="gramEnd"/>
      <w:r w:rsidRPr="00087578">
        <w:rPr>
          <w:rFonts w:ascii="Arial" w:hAnsi="Arial" w:cs="Arial"/>
          <w:sz w:val="20"/>
          <w:szCs w:val="20"/>
        </w:rPr>
        <w:t xml:space="preserve"> уровнем риска, чем другие. Так, продажа опционных контрактов и заключение фьючерсных контрактов, форвардных контрактов и </w:t>
      </w:r>
      <w:proofErr w:type="spellStart"/>
      <w:proofErr w:type="gramStart"/>
      <w:r w:rsidRPr="00087578">
        <w:rPr>
          <w:rFonts w:ascii="Arial" w:hAnsi="Arial" w:cs="Arial"/>
          <w:sz w:val="20"/>
          <w:szCs w:val="20"/>
        </w:rPr>
        <w:t>своп-контрактов</w:t>
      </w:r>
      <w:proofErr w:type="spellEnd"/>
      <w:proofErr w:type="gramEnd"/>
      <w:r w:rsidRPr="00087578">
        <w:rPr>
          <w:rFonts w:ascii="Arial" w:hAnsi="Arial" w:cs="Arial"/>
          <w:sz w:val="20"/>
          <w:szCs w:val="20"/>
        </w:rPr>
        <w:t xml:space="preserve"> при относительно небольших неблагоприятных колебаниях цен на рынке может подвергнуть вас риску значительных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 xml:space="preserve">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они призваны ограничить, и убедитесь, что объем позиции на срочном рынке соответствует объему хеджируемой позиции на </w:t>
      </w:r>
      <w:proofErr w:type="spellStart"/>
      <w:proofErr w:type="gramStart"/>
      <w:r w:rsidRPr="00087578">
        <w:rPr>
          <w:rFonts w:ascii="Arial" w:hAnsi="Arial" w:cs="Arial"/>
          <w:sz w:val="20"/>
          <w:szCs w:val="20"/>
        </w:rPr>
        <w:t>спот-рынке</w:t>
      </w:r>
      <w:proofErr w:type="spellEnd"/>
      <w:proofErr w:type="gramEnd"/>
      <w:r w:rsidRPr="00087578">
        <w:rPr>
          <w:rFonts w:ascii="Arial" w:hAnsi="Arial" w:cs="Arial"/>
          <w:sz w:val="20"/>
          <w:szCs w:val="20"/>
        </w:rPr>
        <w:t>.</w:t>
      </w:r>
    </w:p>
    <w:p w:rsidR="005A1561" w:rsidRPr="00087578" w:rsidRDefault="005A1561" w:rsidP="005A1561">
      <w:pPr>
        <w:ind w:left="709"/>
        <w:jc w:val="both"/>
        <w:rPr>
          <w:rFonts w:ascii="Arial" w:hAnsi="Arial" w:cs="Arial"/>
          <w:b/>
          <w:sz w:val="20"/>
          <w:szCs w:val="20"/>
        </w:rPr>
      </w:pPr>
      <w:r w:rsidRPr="00087578">
        <w:rPr>
          <w:rFonts w:ascii="Arial" w:hAnsi="Arial" w:cs="Arial"/>
          <w:b/>
          <w:sz w:val="20"/>
          <w:szCs w:val="20"/>
        </w:rPr>
        <w:t>I. Рыночный риск</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Помимо общего рыночного (ценового) риска, который несет клиент, совершающий операции на рынке ценных бумаг, вы в случае заключения ва</w:t>
      </w:r>
      <w:r w:rsidR="00087578">
        <w:rPr>
          <w:rFonts w:ascii="Arial" w:hAnsi="Arial" w:cs="Arial"/>
          <w:sz w:val="20"/>
          <w:szCs w:val="20"/>
        </w:rPr>
        <w:t>шим управляющим</w:t>
      </w:r>
      <w:r w:rsidRPr="00087578">
        <w:rPr>
          <w:rFonts w:ascii="Arial" w:hAnsi="Arial" w:cs="Arial"/>
          <w:sz w:val="20"/>
          <w:szCs w:val="20"/>
        </w:rPr>
        <w:t xml:space="preserve"> договоров, являющихся производными финансовыми инструментами,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При заключении договоров, являющихся производными финансовыми инструментами, вы должны учитывать, что возможность распоряжения активами, являющимися обеспечением по таким договорам, ограничена.</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указанному договору и распоряжение им, то есть возможность совершения ва</w:t>
      </w:r>
      <w:r w:rsidR="00087578">
        <w:rPr>
          <w:rFonts w:ascii="Arial" w:hAnsi="Arial" w:cs="Arial"/>
          <w:sz w:val="20"/>
          <w:szCs w:val="20"/>
        </w:rPr>
        <w:t>шим управляющим</w:t>
      </w:r>
      <w:r w:rsidRPr="00087578">
        <w:rPr>
          <w:rFonts w:ascii="Arial" w:hAnsi="Arial" w:cs="Arial"/>
          <w:sz w:val="20"/>
          <w:szCs w:val="20"/>
        </w:rPr>
        <w:t xml:space="preserve"> сделок с ним, будет ограничено. Размер обеспечения изменяется в порядке, предусмотренном договором (спецификацией контракта), и в результате в</w:t>
      </w:r>
      <w:r w:rsidR="00087578">
        <w:rPr>
          <w:rFonts w:ascii="Arial" w:hAnsi="Arial" w:cs="Arial"/>
          <w:sz w:val="20"/>
          <w:szCs w:val="20"/>
        </w:rPr>
        <w:t>аш управляющий</w:t>
      </w:r>
      <w:r w:rsidRPr="00087578">
        <w:rPr>
          <w:rFonts w:ascii="Arial" w:hAnsi="Arial" w:cs="Arial"/>
          <w:sz w:val="20"/>
          <w:szCs w:val="20"/>
        </w:rPr>
        <w:t xml:space="preserve"> может быть ограничен в возможности распоряжаться вашим имуществом в большей степени, чем до заключения договора.</w:t>
      </w:r>
    </w:p>
    <w:p w:rsidR="005A1561" w:rsidRDefault="005A1561" w:rsidP="005A1561">
      <w:pPr>
        <w:ind w:right="-2" w:firstLine="426"/>
        <w:jc w:val="both"/>
        <w:rPr>
          <w:rFonts w:ascii="Arial" w:hAnsi="Arial" w:cs="Arial"/>
          <w:sz w:val="20"/>
          <w:szCs w:val="20"/>
        </w:rPr>
      </w:pPr>
      <w:r w:rsidRPr="00087578">
        <w:rPr>
          <w:rFonts w:ascii="Arial" w:hAnsi="Arial" w:cs="Arial"/>
          <w:sz w:val="20"/>
          <w:szCs w:val="20"/>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w:t>
      </w:r>
      <w:r w:rsidR="000F734A">
        <w:rPr>
          <w:rFonts w:ascii="Arial" w:hAnsi="Arial" w:cs="Arial"/>
          <w:sz w:val="20"/>
          <w:szCs w:val="20"/>
        </w:rPr>
        <w:t>д</w:t>
      </w:r>
      <w:r w:rsidRPr="00087578">
        <w:rPr>
          <w:rFonts w:ascii="Arial" w:hAnsi="Arial" w:cs="Arial"/>
          <w:sz w:val="20"/>
          <w:szCs w:val="20"/>
        </w:rPr>
        <w:t>оговора, что должно быть сделано в короткий срок, который может быть недостаточен для вас. Обслуживающий ва</w:t>
      </w:r>
      <w:r w:rsidR="000F734A">
        <w:rPr>
          <w:rFonts w:ascii="Arial" w:hAnsi="Arial" w:cs="Arial"/>
          <w:sz w:val="20"/>
          <w:szCs w:val="20"/>
        </w:rPr>
        <w:t>шего управляющего</w:t>
      </w:r>
      <w:r w:rsidRPr="00087578">
        <w:rPr>
          <w:rFonts w:ascii="Arial" w:hAnsi="Arial" w:cs="Arial"/>
          <w:sz w:val="20"/>
          <w:szCs w:val="20"/>
        </w:rPr>
        <w:t xml:space="preserve"> </w:t>
      </w:r>
      <w:r w:rsidR="000F734A">
        <w:rPr>
          <w:rFonts w:ascii="Arial" w:hAnsi="Arial" w:cs="Arial"/>
          <w:sz w:val="20"/>
          <w:szCs w:val="20"/>
        </w:rPr>
        <w:t>б</w:t>
      </w:r>
      <w:r w:rsidRPr="00087578">
        <w:rPr>
          <w:rFonts w:ascii="Arial" w:hAnsi="Arial" w:cs="Arial"/>
          <w:sz w:val="20"/>
          <w:szCs w:val="20"/>
        </w:rPr>
        <w:t xml:space="preserve">рокер в этом случае вправе без дополнительного согласия </w:t>
      </w:r>
      <w:r w:rsidR="000F734A" w:rsidRPr="00087578">
        <w:rPr>
          <w:rFonts w:ascii="Arial" w:hAnsi="Arial" w:cs="Arial"/>
          <w:sz w:val="20"/>
          <w:szCs w:val="20"/>
        </w:rPr>
        <w:t>вашего</w:t>
      </w:r>
      <w:r w:rsidR="000F734A">
        <w:rPr>
          <w:rFonts w:ascii="Arial" w:hAnsi="Arial" w:cs="Arial"/>
          <w:sz w:val="20"/>
          <w:szCs w:val="20"/>
        </w:rPr>
        <w:t xml:space="preserve"> управляющего</w:t>
      </w:r>
      <w:r w:rsidR="000F734A" w:rsidRPr="00087578">
        <w:rPr>
          <w:rFonts w:ascii="Arial" w:hAnsi="Arial" w:cs="Arial"/>
          <w:sz w:val="20"/>
          <w:szCs w:val="20"/>
        </w:rPr>
        <w:t xml:space="preserve"> </w:t>
      </w:r>
      <w:r w:rsidRPr="00087578">
        <w:rPr>
          <w:rFonts w:ascii="Arial" w:hAnsi="Arial" w:cs="Arial"/>
          <w:sz w:val="20"/>
          <w:szCs w:val="20"/>
        </w:rPr>
        <w:t>«принудительно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1F648C" w:rsidRPr="001F648C" w:rsidRDefault="001F648C" w:rsidP="001F648C">
      <w:pPr>
        <w:autoSpaceDE w:val="0"/>
        <w:autoSpaceDN w:val="0"/>
        <w:adjustRightInd w:val="0"/>
        <w:jc w:val="both"/>
        <w:rPr>
          <w:rFonts w:ascii="Arial" w:eastAsia="Times New Roman" w:hAnsi="Arial" w:cs="Arial"/>
          <w:bCs/>
          <w:sz w:val="20"/>
          <w:szCs w:val="20"/>
          <w:lang w:eastAsia="ru-RU"/>
        </w:rPr>
      </w:pPr>
      <w:r w:rsidRPr="001F648C">
        <w:rPr>
          <w:rFonts w:ascii="Arial" w:eastAsia="Times New Roman" w:hAnsi="Arial" w:cs="Arial"/>
          <w:bCs/>
          <w:sz w:val="20"/>
          <w:szCs w:val="20"/>
          <w:lang w:eastAsia="ru-RU"/>
        </w:rPr>
        <w:lastRenderedPageBreak/>
        <w:t>Производные финансовые инструменты включают риски отличные от прямых инвестиций в базовые ценные бумаги.</w:t>
      </w:r>
    </w:p>
    <w:p w:rsidR="001F648C" w:rsidRPr="00087578" w:rsidRDefault="001F648C" w:rsidP="001F648C">
      <w:pPr>
        <w:ind w:right="-2" w:firstLine="426"/>
        <w:jc w:val="both"/>
        <w:rPr>
          <w:rFonts w:ascii="Arial" w:hAnsi="Arial" w:cs="Arial"/>
          <w:sz w:val="20"/>
          <w:szCs w:val="20"/>
        </w:rPr>
      </w:pPr>
      <w:r w:rsidRPr="001F648C">
        <w:rPr>
          <w:rFonts w:ascii="Arial" w:eastAsia="Times New Roman" w:hAnsi="Arial" w:cs="Arial"/>
          <w:bCs/>
          <w:sz w:val="20"/>
          <w:szCs w:val="20"/>
          <w:lang w:eastAsia="ru-RU"/>
        </w:rPr>
        <w:t>Эти риски включают неполную корреляцию между стоимостью производного финансового инструмента и базовых активов; риски дефолта других сторон в некоторых сделках; риски потерь от этих операций, что частично или полностью погасит полученные доходы в рамках Инвестиционной стратегии; риски неликвидности этих операций.</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 xml:space="preserve">Вы можете понести значительные убытки, несмотря на то, что после этого изменение цен на финансовые инструменты может принять благоприятное для вас </w:t>
      </w:r>
      <w:proofErr w:type="gramStart"/>
      <w:r w:rsidRPr="00087578">
        <w:rPr>
          <w:rFonts w:ascii="Arial" w:hAnsi="Arial" w:cs="Arial"/>
          <w:sz w:val="20"/>
          <w:szCs w:val="20"/>
        </w:rPr>
        <w:t>направление</w:t>
      </w:r>
      <w:proofErr w:type="gramEnd"/>
      <w:r w:rsidRPr="00087578">
        <w:rPr>
          <w:rFonts w:ascii="Arial" w:hAnsi="Arial" w:cs="Arial"/>
          <w:sz w:val="20"/>
          <w:szCs w:val="20"/>
        </w:rPr>
        <w:t xml:space="preserve">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счету активов.</w:t>
      </w:r>
    </w:p>
    <w:p w:rsidR="005A1561" w:rsidRPr="00087578" w:rsidRDefault="005A1561" w:rsidP="005A1561">
      <w:pPr>
        <w:ind w:left="709"/>
        <w:jc w:val="both"/>
        <w:rPr>
          <w:rFonts w:ascii="Arial" w:hAnsi="Arial" w:cs="Arial"/>
          <w:b/>
          <w:sz w:val="20"/>
          <w:szCs w:val="20"/>
        </w:rPr>
      </w:pPr>
      <w:r w:rsidRPr="00087578">
        <w:rPr>
          <w:rFonts w:ascii="Arial" w:hAnsi="Arial" w:cs="Arial"/>
          <w:b/>
          <w:sz w:val="20"/>
          <w:szCs w:val="20"/>
        </w:rPr>
        <w:t>II. Риск ликвидности</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Трудности с закрытием позиций и потери в цене могут привести к увеличению убытков от производных финансовых инструментов по сравнению с обычными сделками.</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Операции с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влекут также риски, связанные с иностранным происхождением базисного актива.</w:t>
      </w:r>
    </w:p>
    <w:p w:rsidR="005A1561" w:rsidRPr="00087578" w:rsidRDefault="005A1561" w:rsidP="005A1561">
      <w:pPr>
        <w:ind w:right="-2" w:firstLine="426"/>
        <w:jc w:val="center"/>
        <w:rPr>
          <w:rFonts w:ascii="Arial" w:hAnsi="Arial" w:cs="Arial"/>
          <w:sz w:val="20"/>
          <w:szCs w:val="20"/>
        </w:rPr>
      </w:pPr>
      <w:r w:rsidRPr="00087578">
        <w:rPr>
          <w:rFonts w:ascii="Arial" w:hAnsi="Arial" w:cs="Arial"/>
          <w:sz w:val="20"/>
          <w:szCs w:val="20"/>
        </w:rPr>
        <w:t>***</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 xml:space="preserve">Учитывая </w:t>
      </w:r>
      <w:proofErr w:type="gramStart"/>
      <w:r w:rsidRPr="00087578">
        <w:rPr>
          <w:rFonts w:ascii="Arial" w:hAnsi="Arial" w:cs="Arial"/>
          <w:sz w:val="20"/>
          <w:szCs w:val="20"/>
        </w:rPr>
        <w:t>вышеизложенное</w:t>
      </w:r>
      <w:proofErr w:type="gramEnd"/>
      <w:r w:rsidRPr="00087578">
        <w:rPr>
          <w:rFonts w:ascii="Arial" w:hAnsi="Arial" w:cs="Arial"/>
          <w:sz w:val="20"/>
          <w:szCs w:val="20"/>
        </w:rPr>
        <w:t>,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 xml:space="preserve">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w:t>
      </w:r>
      <w:r w:rsidR="000F734A">
        <w:rPr>
          <w:rFonts w:ascii="Arial" w:hAnsi="Arial" w:cs="Arial"/>
          <w:sz w:val="20"/>
          <w:szCs w:val="20"/>
        </w:rPr>
        <w:t>д</w:t>
      </w:r>
      <w:r w:rsidRPr="00087578">
        <w:rPr>
          <w:rFonts w:ascii="Arial" w:hAnsi="Arial" w:cs="Arial"/>
          <w:sz w:val="20"/>
          <w:szCs w:val="20"/>
        </w:rPr>
        <w:t xml:space="preserve">оговора с вашим </w:t>
      </w:r>
      <w:r w:rsidR="000F734A">
        <w:rPr>
          <w:rFonts w:ascii="Arial" w:hAnsi="Arial" w:cs="Arial"/>
          <w:sz w:val="20"/>
          <w:szCs w:val="20"/>
        </w:rPr>
        <w:t>управляющим</w:t>
      </w:r>
      <w:r w:rsidRPr="00087578">
        <w:rPr>
          <w:rFonts w:ascii="Arial" w:hAnsi="Arial" w:cs="Arial"/>
          <w:sz w:val="20"/>
          <w:szCs w:val="20"/>
        </w:rPr>
        <w:t>.</w:t>
      </w:r>
    </w:p>
    <w:p w:rsidR="005A1561" w:rsidRPr="00087578" w:rsidRDefault="005A1561" w:rsidP="005A1561">
      <w:pPr>
        <w:ind w:right="-2" w:firstLine="426"/>
        <w:jc w:val="both"/>
        <w:rPr>
          <w:rFonts w:ascii="Arial" w:hAnsi="Arial" w:cs="Arial"/>
          <w:sz w:val="20"/>
          <w:szCs w:val="20"/>
        </w:rPr>
      </w:pPr>
      <w:r w:rsidRPr="00087578">
        <w:rPr>
          <w:rFonts w:ascii="Arial" w:hAnsi="Arial" w:cs="Arial"/>
          <w:sz w:val="20"/>
          <w:szCs w:val="20"/>
        </w:rPr>
        <w:t xml:space="preserve">Убедитесь, что настоящая Декларация о рисках понятна вам, и при необходимости получите разъяснения у вашего </w:t>
      </w:r>
      <w:r w:rsidR="000F734A">
        <w:rPr>
          <w:rFonts w:ascii="Arial" w:hAnsi="Arial" w:cs="Arial"/>
          <w:sz w:val="20"/>
          <w:szCs w:val="20"/>
        </w:rPr>
        <w:t>управляющего</w:t>
      </w:r>
      <w:r w:rsidRPr="00087578">
        <w:rPr>
          <w:rFonts w:ascii="Arial" w:hAnsi="Arial" w:cs="Arial"/>
          <w:sz w:val="20"/>
          <w:szCs w:val="20"/>
        </w:rPr>
        <w:t xml:space="preserve"> или консультанта, специализирующегося на соответствующих вопросах.</w:t>
      </w:r>
    </w:p>
    <w:p w:rsidR="00467EF7" w:rsidRDefault="00467EF7" w:rsidP="00801354">
      <w:pPr>
        <w:pStyle w:val="12"/>
      </w:pPr>
    </w:p>
    <w:p w:rsidR="00801354" w:rsidRDefault="00801354" w:rsidP="00801354">
      <w:pPr>
        <w:pStyle w:val="12"/>
      </w:pPr>
      <w:r w:rsidRPr="00801354">
        <w:t xml:space="preserve">Подача Учредителем Заявления о присоединении к Договору доверительного управления ценными бумагами и средствами инвестирования в ценные бумаги и производные финансовые инструменты  </w:t>
      </w:r>
      <w:r w:rsidR="001E598A">
        <w:t>П</w:t>
      </w:r>
      <w:r w:rsidRPr="00801354">
        <w:t>АО «ИК РУСС-ИНВЕСТ</w:t>
      </w:r>
      <w:r w:rsidR="00340815">
        <w:t xml:space="preserve">» </w:t>
      </w:r>
      <w:r w:rsidRPr="00801354">
        <w:t>означает, что Учредитель ознакомился с настоящей  Декларацией и подтверждает, что он уведомлен о перечисленных выше рисках, положения Декларации о рисках  Учредителю разъяснены и понятны.</w:t>
      </w:r>
    </w:p>
    <w:p w:rsidR="000B27FD" w:rsidRPr="000B27FD" w:rsidRDefault="00563930" w:rsidP="000B27FD">
      <w:pPr>
        <w:pStyle w:val="12"/>
        <w:rPr>
          <w:bCs/>
          <w:iCs/>
        </w:rPr>
      </w:pPr>
      <w:r w:rsidRPr="00563930">
        <w:t>Настоящая Декларация, как Приложение № 2</w:t>
      </w:r>
      <w:r w:rsidR="00997826">
        <w:t>в</w:t>
      </w:r>
      <w:r w:rsidRPr="00563930">
        <w:t xml:space="preserve"> к Регламенту, </w:t>
      </w:r>
      <w:r w:rsidR="000B27FD" w:rsidRPr="006C3351">
        <w:rPr>
          <w:bCs/>
          <w:iCs/>
        </w:rPr>
        <w:t xml:space="preserve">размещается </w:t>
      </w:r>
      <w:r w:rsidR="000B27FD">
        <w:rPr>
          <w:bCs/>
          <w:iCs/>
        </w:rPr>
        <w:t>Управляющим</w:t>
      </w:r>
      <w:r w:rsidR="000B27FD" w:rsidRPr="006C3351">
        <w:rPr>
          <w:bCs/>
          <w:iCs/>
        </w:rPr>
        <w:t xml:space="preserve"> также </w:t>
      </w:r>
      <w:r w:rsidRPr="00563930">
        <w:rPr>
          <w:bCs/>
          <w:iCs/>
        </w:rPr>
        <w:t>в сети Интернет на сайте Управляющего</w:t>
      </w:r>
      <w:r w:rsidR="000B27FD" w:rsidRPr="006C3351">
        <w:rPr>
          <w:bCs/>
          <w:iCs/>
        </w:rPr>
        <w:t xml:space="preserve"> по адресу </w:t>
      </w:r>
      <w:hyperlink r:id="rId8" w:history="1">
        <w:r w:rsidR="000B27FD" w:rsidRPr="006C3351">
          <w:rPr>
            <w:bCs/>
            <w:iCs/>
          </w:rPr>
          <w:t>www.russ-invest.com</w:t>
        </w:r>
      </w:hyperlink>
      <w:r w:rsidR="000B27FD" w:rsidRPr="006C3351">
        <w:rPr>
          <w:bCs/>
          <w:iCs/>
        </w:rPr>
        <w:t xml:space="preserve"> и доступна в </w:t>
      </w:r>
      <w:r w:rsidRPr="00563930">
        <w:rPr>
          <w:bCs/>
          <w:iCs/>
        </w:rPr>
        <w:t>сети Интернет</w:t>
      </w:r>
      <w:r w:rsidR="000B27FD">
        <w:rPr>
          <w:bCs/>
          <w:iCs/>
        </w:rPr>
        <w:t xml:space="preserve"> для ознакомления всем</w:t>
      </w:r>
      <w:r w:rsidR="000B27FD" w:rsidRPr="006C3351">
        <w:rPr>
          <w:bCs/>
          <w:iCs/>
        </w:rPr>
        <w:t xml:space="preserve"> </w:t>
      </w:r>
      <w:r w:rsidR="000B27FD">
        <w:rPr>
          <w:bCs/>
          <w:iCs/>
        </w:rPr>
        <w:t>Учредителям</w:t>
      </w:r>
      <w:r w:rsidR="000B27FD" w:rsidRPr="006C3351">
        <w:rPr>
          <w:bCs/>
          <w:iCs/>
        </w:rPr>
        <w:t>.</w:t>
      </w:r>
    </w:p>
    <w:p w:rsidR="00563930" w:rsidRPr="00563930" w:rsidRDefault="00563930">
      <w:pPr>
        <w:pStyle w:val="12"/>
        <w:rPr>
          <w:bCs/>
          <w:iCs/>
        </w:rPr>
      </w:pPr>
    </w:p>
    <w:p w:rsidR="00985442" w:rsidRDefault="00985442" w:rsidP="00801354">
      <w:pPr>
        <w:pStyle w:val="12"/>
      </w:pPr>
    </w:p>
    <w:sectPr w:rsidR="00985442" w:rsidSect="00152B9C">
      <w:headerReference w:type="default" r:id="rId9"/>
      <w:footerReference w:type="default" r:id="rId10"/>
      <w:pgSz w:w="11906" w:h="16838"/>
      <w:pgMar w:top="817" w:right="707" w:bottom="1134" w:left="1134" w:header="284"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64F" w:rsidRDefault="0045264F" w:rsidP="00B918A6">
      <w:pPr>
        <w:spacing w:after="0" w:line="240" w:lineRule="auto"/>
      </w:pPr>
      <w:r>
        <w:separator/>
      </w:r>
    </w:p>
  </w:endnote>
  <w:endnote w:type="continuationSeparator" w:id="0">
    <w:p w:rsidR="0045264F" w:rsidRDefault="0045264F" w:rsidP="00B91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i/>
        <w:sz w:val="16"/>
      </w:rPr>
      <w:id w:val="266369820"/>
      <w:docPartObj>
        <w:docPartGallery w:val="Page Numbers (Bottom of Page)"/>
        <w:docPartUnique/>
      </w:docPartObj>
    </w:sdtPr>
    <w:sdtContent>
      <w:p w:rsidR="0045264F" w:rsidRPr="00801354" w:rsidRDefault="00563930" w:rsidP="001C3764">
        <w:pPr>
          <w:pStyle w:val="a6"/>
          <w:ind w:right="360"/>
          <w:jc w:val="center"/>
          <w:rPr>
            <w:rFonts w:ascii="Arial" w:hAnsi="Arial" w:cs="Arial"/>
            <w:i/>
            <w:sz w:val="16"/>
          </w:rPr>
        </w:pPr>
        <w:r>
          <w:rPr>
            <w:rFonts w:ascii="Arial" w:hAnsi="Arial" w:cs="Arial"/>
            <w:i/>
            <w:noProof/>
            <w:sz w:val="16"/>
            <w:lang w:eastAsia="ru-RU"/>
          </w:rPr>
          <w:pict>
            <v:shapetype id="_x0000_t32" coordsize="21600,21600" o:spt="32" o:oned="t" path="m,l21600,21600e" filled="f">
              <v:path arrowok="t" fillok="f" o:connecttype="none"/>
              <o:lock v:ext="edit" shapetype="t"/>
            </v:shapetype>
            <v:shape id="_x0000_s8193" type="#_x0000_t32" style="position:absolute;left:0;text-align:left;margin-left:-4.95pt;margin-top:-5.4pt;width:7in;height:.05pt;z-index:251658240;mso-position-horizontal-relative:text;mso-position-vertical-relative:text" o:connectortype="straight"/>
          </w:pict>
        </w:r>
        <w:r w:rsidR="0045264F" w:rsidRPr="00801354">
          <w:rPr>
            <w:rFonts w:ascii="Arial" w:hAnsi="Arial" w:cs="Arial"/>
            <w:i/>
            <w:sz w:val="16"/>
          </w:rPr>
          <w:t xml:space="preserve">Регламент доверительного управления ценными бумагами и средствами инвестирования в ценные бумаги  и производные финансовые инструменты </w:t>
        </w:r>
        <w:r w:rsidR="001E598A">
          <w:rPr>
            <w:rFonts w:ascii="Arial" w:hAnsi="Arial" w:cs="Arial"/>
            <w:i/>
            <w:sz w:val="16"/>
          </w:rPr>
          <w:t>П</w:t>
        </w:r>
        <w:r w:rsidR="0045264F" w:rsidRPr="00801354">
          <w:rPr>
            <w:rFonts w:ascii="Arial" w:hAnsi="Arial" w:cs="Arial"/>
            <w:i/>
            <w:sz w:val="16"/>
          </w:rPr>
          <w:t xml:space="preserve">АО «ИК РУСС-ИНВЕСТ» </w:t>
        </w:r>
      </w:p>
    </w:sdtContent>
  </w:sdt>
  <w:p w:rsidR="0045264F" w:rsidRDefault="00563930" w:rsidP="008B7B03">
    <w:pPr>
      <w:pStyle w:val="a6"/>
      <w:jc w:val="right"/>
    </w:pPr>
    <w:r>
      <w:fldChar w:fldCharType="begin"/>
    </w:r>
    <w:r w:rsidR="00DA0692">
      <w:instrText xml:space="preserve"> PAGE   \* MERGEFORMAT </w:instrText>
    </w:r>
    <w:r>
      <w:fldChar w:fldCharType="separate"/>
    </w:r>
    <w:r w:rsidR="00A04247">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64F" w:rsidRDefault="0045264F" w:rsidP="00B918A6">
      <w:pPr>
        <w:spacing w:after="0" w:line="240" w:lineRule="auto"/>
      </w:pPr>
      <w:r>
        <w:separator/>
      </w:r>
    </w:p>
  </w:footnote>
  <w:footnote w:type="continuationSeparator" w:id="0">
    <w:p w:rsidR="0045264F" w:rsidRDefault="0045264F" w:rsidP="00B91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64F" w:rsidRPr="008B7B03" w:rsidRDefault="0045264F" w:rsidP="001C3764">
    <w:pPr>
      <w:pStyle w:val="a8"/>
      <w:pBdr>
        <w:bottom w:val="single" w:sz="4" w:space="4" w:color="auto"/>
      </w:pBdr>
      <w:jc w:val="center"/>
      <w:rPr>
        <w:i/>
        <w:sz w:val="16"/>
      </w:rPr>
    </w:pPr>
    <w:r w:rsidRPr="001C3764">
      <w:rPr>
        <w:i/>
        <w:sz w:val="16"/>
      </w:rPr>
      <w:tab/>
    </w:r>
    <w:r w:rsidR="001E598A">
      <w:rPr>
        <w:i/>
        <w:sz w:val="16"/>
      </w:rPr>
      <w:t xml:space="preserve">Публичное </w:t>
    </w:r>
    <w:r w:rsidRPr="008B7B03">
      <w:rPr>
        <w:i/>
        <w:sz w:val="16"/>
      </w:rPr>
      <w:t>акционерное общество «ИНВЕСТИЦИОННАЯ КОМПАНИЯ ИК РУСС-ИНВЕСТ»</w:t>
    </w:r>
    <w:bookmarkStart w:id="0" w:name="OLE_LINK13"/>
    <w:bookmarkStart w:id="1" w:name="OLE_LINK14"/>
    <w:bookmarkEnd w:id="0"/>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82F8E"/>
    <w:multiLevelType w:val="hybridMultilevel"/>
    <w:tmpl w:val="8D58C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5C1850"/>
    <w:multiLevelType w:val="hybridMultilevel"/>
    <w:tmpl w:val="2B860C1E"/>
    <w:lvl w:ilvl="0" w:tplc="2BE8AC8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C3841D7"/>
    <w:multiLevelType w:val="hybridMultilevel"/>
    <w:tmpl w:val="ADC2599E"/>
    <w:lvl w:ilvl="0" w:tplc="296465C4">
      <w:start w:val="1"/>
      <w:numFmt w:val="decimal"/>
      <w:suff w:val="space"/>
      <w:lvlText w:val="%1."/>
      <w:lvlJc w:val="left"/>
      <w:pPr>
        <w:ind w:left="0" w:firstLine="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0A92A44"/>
    <w:multiLevelType w:val="hybridMultilevel"/>
    <w:tmpl w:val="A7D4E854"/>
    <w:lvl w:ilvl="0" w:tplc="334E7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9BF32B1"/>
    <w:multiLevelType w:val="hybridMultilevel"/>
    <w:tmpl w:val="EB42C812"/>
    <w:lvl w:ilvl="0" w:tplc="13D8AC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0F4B9F"/>
    <w:multiLevelType w:val="hybridMultilevel"/>
    <w:tmpl w:val="CC2AEBF6"/>
    <w:lvl w:ilvl="0" w:tplc="2BE8AC8C">
      <w:start w:val="1"/>
      <w:numFmt w:val="decimal"/>
      <w:lvlText w:val="%1."/>
      <w:lvlJc w:val="left"/>
      <w:pPr>
        <w:ind w:left="1080" w:hanging="360"/>
      </w:pPr>
      <w:rPr>
        <w:rFonts w:hint="default"/>
      </w:rPr>
    </w:lvl>
    <w:lvl w:ilvl="1" w:tplc="4636108E">
      <w:start w:val="1"/>
      <w:numFmt w:val="decimal"/>
      <w:lvlText w:val="5.%2."/>
      <w:lvlJc w:val="left"/>
      <w:pPr>
        <w:ind w:left="1800" w:hanging="360"/>
      </w:pPr>
      <w:rPr>
        <w:rFonts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4B5B36"/>
    <w:multiLevelType w:val="multilevel"/>
    <w:tmpl w:val="E7704DFE"/>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7">
    <w:nsid w:val="2FC55D41"/>
    <w:multiLevelType w:val="multilevel"/>
    <w:tmpl w:val="C6B48E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
        </w:tabs>
        <w:ind w:left="-3" w:firstLine="3"/>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FD10EC9"/>
    <w:multiLevelType w:val="hybridMultilevel"/>
    <w:tmpl w:val="9BEAE7F4"/>
    <w:lvl w:ilvl="0" w:tplc="379E18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F8A4A10"/>
    <w:multiLevelType w:val="hybridMultilevel"/>
    <w:tmpl w:val="016CF6E2"/>
    <w:lvl w:ilvl="0" w:tplc="51B630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5FB6A62"/>
    <w:multiLevelType w:val="hybridMultilevel"/>
    <w:tmpl w:val="637AC1DA"/>
    <w:lvl w:ilvl="0" w:tplc="30C8CAD8">
      <w:start w:val="2"/>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96E1C"/>
    <w:multiLevelType w:val="multilevel"/>
    <w:tmpl w:val="D66EF8A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9253813"/>
    <w:multiLevelType w:val="hybridMultilevel"/>
    <w:tmpl w:val="20804C0C"/>
    <w:lvl w:ilvl="0" w:tplc="8654C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A2917DA"/>
    <w:multiLevelType w:val="multilevel"/>
    <w:tmpl w:val="585E7AA8"/>
    <w:lvl w:ilvl="0">
      <w:start w:val="2"/>
      <w:numFmt w:val="decimal"/>
      <w:suff w:val="space"/>
      <w:lvlText w:val="%1."/>
      <w:lvlJc w:val="left"/>
      <w:pPr>
        <w:ind w:left="0" w:firstLine="0"/>
      </w:pPr>
      <w:rPr>
        <w:rFonts w:hint="default"/>
      </w:rPr>
    </w:lvl>
    <w:lvl w:ilvl="1">
      <w:start w:val="1"/>
      <w:numFmt w:val="decimal"/>
      <w:lvlText w:val="%1.%2."/>
      <w:lvlJc w:val="left"/>
      <w:pPr>
        <w:ind w:left="675" w:hanging="495"/>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63FC0ED0"/>
    <w:multiLevelType w:val="hybridMultilevel"/>
    <w:tmpl w:val="C44C2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D36272"/>
    <w:multiLevelType w:val="hybridMultilevel"/>
    <w:tmpl w:val="163C840A"/>
    <w:lvl w:ilvl="0" w:tplc="ABAC531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4F77B7"/>
    <w:multiLevelType w:val="multilevel"/>
    <w:tmpl w:val="05F872BE"/>
    <w:lvl w:ilvl="0">
      <w:start w:val="1"/>
      <w:numFmt w:val="decimal"/>
      <w:suff w:val="space"/>
      <w:lvlText w:val="%1."/>
      <w:lvlJc w:val="left"/>
      <w:pPr>
        <w:ind w:left="170" w:hanging="170"/>
      </w:pPr>
      <w:rPr>
        <w:rFonts w:ascii="Times New Roman" w:hAnsi="Times New Roman" w:cs="Times New Roman" w:hint="default"/>
      </w:rPr>
    </w:lvl>
    <w:lvl w:ilvl="1">
      <w:start w:val="2"/>
      <w:numFmt w:val="decimal"/>
      <w:lvlText w:val="%1.%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6E13156A"/>
    <w:multiLevelType w:val="multilevel"/>
    <w:tmpl w:val="EFAA171E"/>
    <w:lvl w:ilvl="0">
      <w:start w:val="1"/>
      <w:numFmt w:val="decimal"/>
      <w:suff w:val="space"/>
      <w:lvlText w:val="%1."/>
      <w:lvlJc w:val="left"/>
      <w:pPr>
        <w:ind w:left="720" w:hanging="360"/>
      </w:pPr>
      <w:rPr>
        <w:rFonts w:ascii="Arial" w:eastAsia="Times New Roman" w:hAnsi="Arial" w:cs="Arial"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17"/>
  </w:num>
  <w:num w:numId="2">
    <w:abstractNumId w:val="2"/>
  </w:num>
  <w:num w:numId="3">
    <w:abstractNumId w:val="9"/>
  </w:num>
  <w:num w:numId="4">
    <w:abstractNumId w:val="7"/>
  </w:num>
  <w:num w:numId="5">
    <w:abstractNumId w:val="1"/>
  </w:num>
  <w:num w:numId="6">
    <w:abstractNumId w:val="12"/>
  </w:num>
  <w:num w:numId="7">
    <w:abstractNumId w:val="13"/>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1.%2."/>
        <w:lvlJc w:val="left"/>
        <w:pPr>
          <w:ind w:left="675" w:hanging="495"/>
        </w:pPr>
        <w:rPr>
          <w:rFonts w:hint="default"/>
          <w:b w:val="0"/>
          <w:i w:val="0"/>
        </w:rPr>
      </w:lvl>
    </w:lvlOverride>
    <w:lvlOverride w:ilvl="2">
      <w:lvl w:ilvl="2">
        <w:start w:val="1"/>
        <w:numFmt w:val="decimal"/>
        <w:lvlText w:val="%1.%2.%3."/>
        <w:lvlJc w:val="left"/>
        <w:pPr>
          <w:ind w:left="1080" w:hanging="720"/>
        </w:pPr>
        <w:rPr>
          <w:rFonts w:hint="default"/>
        </w:rPr>
      </w:lvl>
    </w:lvlOverride>
    <w:lvlOverride w:ilvl="3">
      <w:lvl w:ilvl="3">
        <w:start w:val="1"/>
        <w:numFmt w:val="decimal"/>
        <w:lvlText w:val="%1.%2.%3.%4."/>
        <w:lvlJc w:val="left"/>
        <w:pPr>
          <w:ind w:left="1260" w:hanging="720"/>
        </w:pPr>
        <w:rPr>
          <w:rFonts w:hint="default"/>
        </w:rPr>
      </w:lvl>
    </w:lvlOverride>
    <w:lvlOverride w:ilvl="4">
      <w:lvl w:ilvl="4">
        <w:start w:val="1"/>
        <w:numFmt w:val="decimal"/>
        <w:lvlText w:val="%1.%2.%3.%4.%5."/>
        <w:lvlJc w:val="left"/>
        <w:pPr>
          <w:ind w:left="1800" w:hanging="1080"/>
        </w:pPr>
        <w:rPr>
          <w:rFonts w:hint="default"/>
        </w:rPr>
      </w:lvl>
    </w:lvlOverride>
    <w:lvlOverride w:ilvl="5">
      <w:lvl w:ilvl="5">
        <w:start w:val="1"/>
        <w:numFmt w:val="decimal"/>
        <w:lvlText w:val="%1.%2.%3.%4.%5.%6."/>
        <w:lvlJc w:val="left"/>
        <w:pPr>
          <w:ind w:left="1980" w:hanging="1080"/>
        </w:pPr>
        <w:rPr>
          <w:rFonts w:hint="default"/>
        </w:rPr>
      </w:lvl>
    </w:lvlOverride>
    <w:lvlOverride w:ilvl="6">
      <w:lvl w:ilvl="6">
        <w:start w:val="1"/>
        <w:numFmt w:val="decimal"/>
        <w:lvlText w:val="%1.%2.%3.%4.%5.%6.%7."/>
        <w:lvlJc w:val="left"/>
        <w:pPr>
          <w:ind w:left="2520" w:hanging="1440"/>
        </w:pPr>
        <w:rPr>
          <w:rFonts w:hint="default"/>
        </w:rPr>
      </w:lvl>
    </w:lvlOverride>
    <w:lvlOverride w:ilvl="7">
      <w:lvl w:ilvl="7">
        <w:start w:val="1"/>
        <w:numFmt w:val="decimal"/>
        <w:lvlText w:val="%1.%2.%3.%4.%5.%6.%7.%8."/>
        <w:lvlJc w:val="left"/>
        <w:pPr>
          <w:ind w:left="2700" w:hanging="1440"/>
        </w:pPr>
        <w:rPr>
          <w:rFonts w:hint="default"/>
        </w:rPr>
      </w:lvl>
    </w:lvlOverride>
    <w:lvlOverride w:ilvl="8">
      <w:lvl w:ilvl="8">
        <w:start w:val="1"/>
        <w:numFmt w:val="decimal"/>
        <w:lvlText w:val="%1.%2.%3.%4.%5.%6.%7.%8.%9."/>
        <w:lvlJc w:val="left"/>
        <w:pPr>
          <w:ind w:left="3240" w:hanging="1800"/>
        </w:pPr>
        <w:rPr>
          <w:rFonts w:hint="default"/>
        </w:rPr>
      </w:lvl>
    </w:lvlOverride>
  </w:num>
  <w:num w:numId="8">
    <w:abstractNumId w:val="15"/>
  </w:num>
  <w:num w:numId="9">
    <w:abstractNumId w:val="11"/>
  </w:num>
  <w:num w:numId="10">
    <w:abstractNumId w:val="14"/>
  </w:num>
  <w:num w:numId="11">
    <w:abstractNumId w:val="16"/>
  </w:num>
  <w:num w:numId="12">
    <w:abstractNumId w:val="5"/>
  </w:num>
  <w:num w:numId="13">
    <w:abstractNumId w:val="6"/>
  </w:num>
  <w:num w:numId="14">
    <w:abstractNumId w:val="10"/>
  </w:num>
  <w:num w:numId="15">
    <w:abstractNumId w:val="8"/>
  </w:num>
  <w:num w:numId="16">
    <w:abstractNumId w:val="3"/>
  </w:num>
  <w:num w:numId="17">
    <w:abstractNumId w:val="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4"/>
    <o:shapelayout v:ext="edit">
      <o:idmap v:ext="edit" data="8"/>
      <o:rules v:ext="edit">
        <o:r id="V:Rule2" type="connector" idref="#_x0000_s8193"/>
      </o:rules>
    </o:shapelayout>
  </w:hdrShapeDefaults>
  <w:footnotePr>
    <w:footnote w:id="-1"/>
    <w:footnote w:id="0"/>
  </w:footnotePr>
  <w:endnotePr>
    <w:endnote w:id="-1"/>
    <w:endnote w:id="0"/>
  </w:endnotePr>
  <w:compat/>
  <w:rsids>
    <w:rsidRoot w:val="00753565"/>
    <w:rsid w:val="0008545F"/>
    <w:rsid w:val="00087578"/>
    <w:rsid w:val="000B27FD"/>
    <w:rsid w:val="000D7B58"/>
    <w:rsid w:val="000E33FB"/>
    <w:rsid w:val="000F734A"/>
    <w:rsid w:val="00102CEB"/>
    <w:rsid w:val="001273C6"/>
    <w:rsid w:val="001309D0"/>
    <w:rsid w:val="00130FDE"/>
    <w:rsid w:val="00152B9C"/>
    <w:rsid w:val="00194A8A"/>
    <w:rsid w:val="001C3764"/>
    <w:rsid w:val="001D19D1"/>
    <w:rsid w:val="001D4404"/>
    <w:rsid w:val="001E598A"/>
    <w:rsid w:val="001F2B42"/>
    <w:rsid w:val="001F648C"/>
    <w:rsid w:val="002313A7"/>
    <w:rsid w:val="00233243"/>
    <w:rsid w:val="002C1693"/>
    <w:rsid w:val="002D1B1F"/>
    <w:rsid w:val="002F3417"/>
    <w:rsid w:val="00340815"/>
    <w:rsid w:val="00367A9A"/>
    <w:rsid w:val="00381C95"/>
    <w:rsid w:val="003B166A"/>
    <w:rsid w:val="003D44FB"/>
    <w:rsid w:val="003F2760"/>
    <w:rsid w:val="003F5D41"/>
    <w:rsid w:val="00414E05"/>
    <w:rsid w:val="00443CCB"/>
    <w:rsid w:val="0045264F"/>
    <w:rsid w:val="00462249"/>
    <w:rsid w:val="00467EF7"/>
    <w:rsid w:val="00475AB7"/>
    <w:rsid w:val="005357D5"/>
    <w:rsid w:val="0055149A"/>
    <w:rsid w:val="00563930"/>
    <w:rsid w:val="0056732F"/>
    <w:rsid w:val="00576CA1"/>
    <w:rsid w:val="005A1561"/>
    <w:rsid w:val="005C1C09"/>
    <w:rsid w:val="00643399"/>
    <w:rsid w:val="006458CD"/>
    <w:rsid w:val="0065327B"/>
    <w:rsid w:val="00666A42"/>
    <w:rsid w:val="00667AAD"/>
    <w:rsid w:val="006C2BA0"/>
    <w:rsid w:val="007165C2"/>
    <w:rsid w:val="00744129"/>
    <w:rsid w:val="00753565"/>
    <w:rsid w:val="00792AFB"/>
    <w:rsid w:val="007A134B"/>
    <w:rsid w:val="00801354"/>
    <w:rsid w:val="00835EE9"/>
    <w:rsid w:val="00851505"/>
    <w:rsid w:val="008640A1"/>
    <w:rsid w:val="008B7B03"/>
    <w:rsid w:val="008D7D3D"/>
    <w:rsid w:val="008E414B"/>
    <w:rsid w:val="009614E5"/>
    <w:rsid w:val="00975BCF"/>
    <w:rsid w:val="00985442"/>
    <w:rsid w:val="0099069E"/>
    <w:rsid w:val="00992B2D"/>
    <w:rsid w:val="00997826"/>
    <w:rsid w:val="009D3441"/>
    <w:rsid w:val="00A04247"/>
    <w:rsid w:val="00A626D1"/>
    <w:rsid w:val="00A84507"/>
    <w:rsid w:val="00A85F7C"/>
    <w:rsid w:val="00AA74DC"/>
    <w:rsid w:val="00AB17F6"/>
    <w:rsid w:val="00B04AFB"/>
    <w:rsid w:val="00B5651D"/>
    <w:rsid w:val="00B74629"/>
    <w:rsid w:val="00B8039C"/>
    <w:rsid w:val="00B918A6"/>
    <w:rsid w:val="00C43D88"/>
    <w:rsid w:val="00D0739C"/>
    <w:rsid w:val="00D07489"/>
    <w:rsid w:val="00D23264"/>
    <w:rsid w:val="00D949CF"/>
    <w:rsid w:val="00DA0692"/>
    <w:rsid w:val="00E56E4B"/>
    <w:rsid w:val="00F024B7"/>
    <w:rsid w:val="00F3766E"/>
    <w:rsid w:val="00F45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66E"/>
  </w:style>
  <w:style w:type="paragraph" w:styleId="1">
    <w:name w:val="heading 1"/>
    <w:basedOn w:val="a"/>
    <w:next w:val="a"/>
    <w:link w:val="10"/>
    <w:qFormat/>
    <w:rsid w:val="005C1C09"/>
    <w:pPr>
      <w:keepNext/>
      <w:spacing w:after="0" w:line="260" w:lineRule="exact"/>
      <w:ind w:right="49" w:firstLine="284"/>
      <w:jc w:val="right"/>
      <w:outlineLvl w:val="0"/>
    </w:pPr>
    <w:rPr>
      <w:rFonts w:ascii="Times New Roman" w:eastAsia="Times New Roman" w:hAnsi="Times New Roman" w:cs="Times New Roman"/>
      <w:b/>
      <w:sz w:val="20"/>
      <w:szCs w:val="24"/>
      <w:lang w:eastAsia="ru-RU"/>
    </w:rPr>
  </w:style>
  <w:style w:type="paragraph" w:styleId="3">
    <w:name w:val="heading 3"/>
    <w:basedOn w:val="a"/>
    <w:next w:val="a"/>
    <w:link w:val="30"/>
    <w:uiPriority w:val="9"/>
    <w:semiHidden/>
    <w:unhideWhenUsed/>
    <w:qFormat/>
    <w:rsid w:val="00367A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1C09"/>
    <w:rPr>
      <w:rFonts w:ascii="Times New Roman" w:eastAsia="Times New Roman" w:hAnsi="Times New Roman" w:cs="Times New Roman"/>
      <w:b/>
      <w:sz w:val="20"/>
      <w:szCs w:val="24"/>
      <w:lang w:eastAsia="ru-RU"/>
    </w:rPr>
  </w:style>
  <w:style w:type="paragraph" w:styleId="a3">
    <w:name w:val="List Paragraph"/>
    <w:basedOn w:val="a"/>
    <w:uiPriority w:val="34"/>
    <w:qFormat/>
    <w:rsid w:val="0055149A"/>
    <w:pPr>
      <w:ind w:left="720"/>
      <w:contextualSpacing/>
    </w:pPr>
  </w:style>
  <w:style w:type="paragraph" w:styleId="a4">
    <w:name w:val="header"/>
    <w:basedOn w:val="a"/>
    <w:link w:val="a5"/>
    <w:uiPriority w:val="99"/>
    <w:unhideWhenUsed/>
    <w:rsid w:val="00B918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18A6"/>
  </w:style>
  <w:style w:type="paragraph" w:styleId="a6">
    <w:name w:val="footer"/>
    <w:basedOn w:val="a"/>
    <w:link w:val="a7"/>
    <w:unhideWhenUsed/>
    <w:rsid w:val="00B918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18A6"/>
  </w:style>
  <w:style w:type="paragraph" w:styleId="a8">
    <w:name w:val="Body Text"/>
    <w:basedOn w:val="a"/>
    <w:link w:val="11"/>
    <w:rsid w:val="00B918A6"/>
    <w:pPr>
      <w:keepLines/>
      <w:spacing w:before="120" w:after="0" w:line="240" w:lineRule="auto"/>
      <w:jc w:val="both"/>
    </w:pPr>
    <w:rPr>
      <w:rFonts w:ascii="Arial" w:eastAsia="Times New Roman" w:hAnsi="Arial" w:cs="Times New Roman"/>
      <w:sz w:val="20"/>
      <w:szCs w:val="20"/>
      <w:lang w:eastAsia="ru-RU"/>
    </w:rPr>
  </w:style>
  <w:style w:type="character" w:customStyle="1" w:styleId="a9">
    <w:name w:val="Основной текст Знак"/>
    <w:basedOn w:val="a0"/>
    <w:link w:val="a8"/>
    <w:uiPriority w:val="99"/>
    <w:semiHidden/>
    <w:rsid w:val="00B918A6"/>
  </w:style>
  <w:style w:type="character" w:customStyle="1" w:styleId="11">
    <w:name w:val="Основной текст Знак1"/>
    <w:basedOn w:val="a0"/>
    <w:link w:val="a8"/>
    <w:rsid w:val="00B918A6"/>
    <w:rPr>
      <w:rFonts w:ascii="Arial" w:eastAsia="Times New Roman" w:hAnsi="Arial" w:cs="Times New Roman"/>
      <w:sz w:val="20"/>
      <w:szCs w:val="20"/>
      <w:lang w:eastAsia="ru-RU"/>
    </w:rPr>
  </w:style>
  <w:style w:type="paragraph" w:styleId="31">
    <w:name w:val="Body Text 3"/>
    <w:basedOn w:val="a"/>
    <w:link w:val="32"/>
    <w:uiPriority w:val="99"/>
    <w:semiHidden/>
    <w:unhideWhenUsed/>
    <w:rsid w:val="008640A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8640A1"/>
    <w:rPr>
      <w:rFonts w:ascii="Times New Roman" w:eastAsia="Times New Roman" w:hAnsi="Times New Roman" w:cs="Times New Roman"/>
      <w:sz w:val="16"/>
      <w:szCs w:val="16"/>
      <w:lang w:eastAsia="ru-RU"/>
    </w:rPr>
  </w:style>
  <w:style w:type="paragraph" w:customStyle="1" w:styleId="ConsPlusNonformat">
    <w:name w:val="ConsPlusNonformat"/>
    <w:rsid w:val="008640A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640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367A9A"/>
    <w:rPr>
      <w:rFonts w:asciiTheme="majorHAnsi" w:eastAsiaTheme="majorEastAsia" w:hAnsiTheme="majorHAnsi" w:cstheme="majorBidi"/>
      <w:b/>
      <w:bCs/>
      <w:color w:val="4F81BD" w:themeColor="accent1"/>
    </w:rPr>
  </w:style>
  <w:style w:type="paragraph" w:styleId="aa">
    <w:name w:val="footnote text"/>
    <w:basedOn w:val="a"/>
    <w:link w:val="ab"/>
    <w:uiPriority w:val="99"/>
    <w:semiHidden/>
    <w:unhideWhenUsed/>
    <w:rsid w:val="002D1B1F"/>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D1B1F"/>
    <w:rPr>
      <w:rFonts w:ascii="Times New Roman" w:eastAsia="Times New Roman" w:hAnsi="Times New Roman" w:cs="Times New Roman"/>
      <w:sz w:val="20"/>
      <w:szCs w:val="20"/>
      <w:lang w:eastAsia="ru-RU"/>
    </w:rPr>
  </w:style>
  <w:style w:type="character" w:styleId="ac">
    <w:name w:val="footnote reference"/>
    <w:uiPriority w:val="99"/>
    <w:semiHidden/>
    <w:unhideWhenUsed/>
    <w:rsid w:val="002D1B1F"/>
    <w:rPr>
      <w:vertAlign w:val="superscript"/>
    </w:rPr>
  </w:style>
  <w:style w:type="paragraph" w:styleId="12">
    <w:name w:val="index 1"/>
    <w:basedOn w:val="a"/>
    <w:next w:val="a"/>
    <w:autoRedefine/>
    <w:semiHidden/>
    <w:rsid w:val="00801354"/>
    <w:pPr>
      <w:spacing w:before="360" w:after="0" w:line="240" w:lineRule="auto"/>
      <w:jc w:val="both"/>
    </w:pPr>
    <w:rPr>
      <w:rFonts w:ascii="Arial" w:eastAsia="Times New Roman" w:hAnsi="Arial" w:cs="Arial"/>
      <w:b/>
      <w:i/>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s-inve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484F6-66D3-4702-B419-5F5A6BB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913</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OGrodnikova</dc:creator>
  <cp:lastModifiedBy>OGrodnikova</cp:lastModifiedBy>
  <cp:revision>14</cp:revision>
  <dcterms:created xsi:type="dcterms:W3CDTF">2016-02-17T12:22:00Z</dcterms:created>
  <dcterms:modified xsi:type="dcterms:W3CDTF">2017-04-11T11:19:00Z</dcterms:modified>
</cp:coreProperties>
</file>