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EB0" w:rsidRPr="005867F6" w:rsidRDefault="00A56EB0" w:rsidP="0031738C">
      <w:pPr>
        <w:pStyle w:val="a3"/>
        <w:rPr>
          <w:rFonts w:ascii="Times New Roman" w:hAnsi="Times New Roman"/>
          <w:b/>
          <w:sz w:val="16"/>
          <w:szCs w:val="16"/>
        </w:rPr>
      </w:pPr>
      <w:r w:rsidRPr="00B01AEB">
        <w:rPr>
          <w:sz w:val="24"/>
          <w:szCs w:val="24"/>
        </w:rPr>
        <w:t xml:space="preserve">                                                                                               </w:t>
      </w:r>
      <w:r w:rsidR="000715DA">
        <w:rPr>
          <w:sz w:val="24"/>
          <w:szCs w:val="24"/>
        </w:rPr>
        <w:t xml:space="preserve"> </w:t>
      </w:r>
      <w:r w:rsidRPr="005867F6">
        <w:rPr>
          <w:rFonts w:ascii="Times New Roman" w:hAnsi="Times New Roman"/>
          <w:b/>
          <w:sz w:val="16"/>
          <w:szCs w:val="16"/>
        </w:rPr>
        <w:t>Приложение №5</w:t>
      </w:r>
    </w:p>
    <w:p w:rsidR="005867F6" w:rsidRPr="005867F6" w:rsidRDefault="00A56EB0" w:rsidP="000715DA">
      <w:pPr>
        <w:pStyle w:val="a3"/>
        <w:ind w:left="6373"/>
        <w:rPr>
          <w:rFonts w:ascii="Times New Roman" w:hAnsi="Times New Roman"/>
          <w:b/>
          <w:sz w:val="16"/>
          <w:szCs w:val="16"/>
        </w:rPr>
      </w:pPr>
      <w:r w:rsidRPr="005867F6">
        <w:rPr>
          <w:rFonts w:ascii="Times New Roman" w:hAnsi="Times New Roman"/>
          <w:b/>
          <w:sz w:val="16"/>
          <w:szCs w:val="16"/>
        </w:rPr>
        <w:t xml:space="preserve">к Регламенту оказания </w:t>
      </w:r>
      <w:r w:rsidR="000A5EC1">
        <w:rPr>
          <w:rFonts w:ascii="Times New Roman" w:hAnsi="Times New Roman"/>
          <w:b/>
          <w:sz w:val="16"/>
          <w:szCs w:val="16"/>
        </w:rPr>
        <w:t>П</w:t>
      </w:r>
      <w:r w:rsidR="000A5EC1" w:rsidRPr="005867F6">
        <w:rPr>
          <w:rFonts w:ascii="Times New Roman" w:hAnsi="Times New Roman"/>
          <w:b/>
          <w:sz w:val="16"/>
          <w:szCs w:val="16"/>
        </w:rPr>
        <w:t xml:space="preserve">АО </w:t>
      </w:r>
      <w:r w:rsidRPr="005867F6">
        <w:rPr>
          <w:rFonts w:ascii="Times New Roman" w:hAnsi="Times New Roman"/>
          <w:b/>
          <w:sz w:val="16"/>
          <w:szCs w:val="16"/>
        </w:rPr>
        <w:t>«ИК РУСС-ИНВЕСТ» брокерских услуг</w:t>
      </w:r>
      <w:r w:rsidR="005867F6">
        <w:rPr>
          <w:rFonts w:ascii="Times New Roman" w:hAnsi="Times New Roman"/>
          <w:b/>
          <w:sz w:val="16"/>
          <w:szCs w:val="16"/>
        </w:rPr>
        <w:t xml:space="preserve"> </w:t>
      </w:r>
      <w:r w:rsidR="005867F6" w:rsidRPr="005867F6">
        <w:rPr>
          <w:rFonts w:ascii="Times New Roman" w:hAnsi="Times New Roman"/>
          <w:b/>
          <w:sz w:val="16"/>
          <w:szCs w:val="16"/>
        </w:rPr>
        <w:t>на рынке ценных бумаг и срочном рынке</w:t>
      </w:r>
    </w:p>
    <w:p w:rsidR="00A56EB0" w:rsidRPr="00B01AEB" w:rsidRDefault="00A56EB0" w:rsidP="00A56EB0">
      <w:pPr>
        <w:jc w:val="center"/>
        <w:rPr>
          <w:b/>
          <w:bCs/>
          <w:sz w:val="18"/>
          <w:szCs w:val="18"/>
        </w:rPr>
      </w:pPr>
      <w:r w:rsidRPr="00D263B7">
        <w:rPr>
          <w:b/>
          <w:bCs/>
          <w:sz w:val="22"/>
          <w:szCs w:val="22"/>
        </w:rPr>
        <w:t>Тарифы</w:t>
      </w:r>
      <w:r w:rsidR="006024C5">
        <w:rPr>
          <w:b/>
          <w:bCs/>
          <w:sz w:val="18"/>
          <w:szCs w:val="18"/>
        </w:rPr>
        <w:t xml:space="preserve"> </w:t>
      </w:r>
      <w:r w:rsidR="00841C6D" w:rsidRPr="00841C6D">
        <w:rPr>
          <w:b/>
          <w:bCs/>
          <w:sz w:val="18"/>
          <w:szCs w:val="18"/>
          <w:vertAlign w:val="superscript"/>
        </w:rPr>
        <w:t>1</w:t>
      </w:r>
    </w:p>
    <w:p w:rsidR="00246A57" w:rsidRDefault="00246A57" w:rsidP="00A56EB0">
      <w:pPr>
        <w:rPr>
          <w:b/>
          <w:bCs/>
          <w:sz w:val="20"/>
          <w:szCs w:val="20"/>
          <w:u w:val="single"/>
        </w:rPr>
      </w:pPr>
    </w:p>
    <w:p w:rsidR="00A56EB0" w:rsidRPr="00EC723F" w:rsidRDefault="00FD4B29" w:rsidP="00A56EB0">
      <w:pPr>
        <w:rPr>
          <w:b/>
          <w:bCs/>
          <w:sz w:val="20"/>
          <w:szCs w:val="20"/>
          <w:u w:val="single"/>
        </w:rPr>
      </w:pPr>
      <w:r w:rsidRPr="00FD4B29">
        <w:rPr>
          <w:b/>
          <w:bCs/>
          <w:sz w:val="20"/>
          <w:szCs w:val="20"/>
          <w:u w:val="single"/>
        </w:rPr>
        <w:t>Тарифы для юридического лица</w:t>
      </w:r>
    </w:p>
    <w:p w:rsidR="00A56EB0" w:rsidRDefault="00A56EB0" w:rsidP="00A56EB0">
      <w:pPr>
        <w:rPr>
          <w:b/>
          <w:bCs/>
          <w:sz w:val="18"/>
          <w:szCs w:val="18"/>
        </w:rPr>
      </w:pPr>
    </w:p>
    <w:p w:rsidR="00A56EB0" w:rsidRPr="00B01AEB" w:rsidRDefault="00A56EB0" w:rsidP="00A56EB0">
      <w:pPr>
        <w:rPr>
          <w:b/>
          <w:bCs/>
          <w:sz w:val="18"/>
          <w:szCs w:val="18"/>
        </w:rPr>
      </w:pPr>
      <w:r w:rsidRPr="00B01AEB">
        <w:rPr>
          <w:b/>
          <w:bCs/>
          <w:sz w:val="18"/>
          <w:szCs w:val="18"/>
        </w:rPr>
        <w:t>На рынке ценных бумаг:</w:t>
      </w:r>
    </w:p>
    <w:p w:rsidR="000715DA" w:rsidRDefault="000715DA" w:rsidP="00A56EB0">
      <w:pPr>
        <w:rPr>
          <w:b/>
          <w:sz w:val="16"/>
          <w:szCs w:val="16"/>
        </w:rPr>
      </w:pPr>
    </w:p>
    <w:p w:rsidR="00A56EB0" w:rsidRPr="00B26583" w:rsidRDefault="00953F45" w:rsidP="00A56EB0">
      <w:pPr>
        <w:rPr>
          <w:b/>
          <w:sz w:val="16"/>
          <w:szCs w:val="16"/>
        </w:rPr>
      </w:pPr>
      <w:r w:rsidRPr="00B26583">
        <w:rPr>
          <w:b/>
          <w:sz w:val="16"/>
          <w:szCs w:val="16"/>
        </w:rPr>
        <w:t>Тарифный план 1.</w:t>
      </w:r>
    </w:p>
    <w:p w:rsidR="00A56EB0" w:rsidRPr="00B26583" w:rsidRDefault="00A56EB0" w:rsidP="00A56EB0">
      <w:pPr>
        <w:rPr>
          <w:sz w:val="16"/>
          <w:szCs w:val="16"/>
        </w:rPr>
      </w:pPr>
      <w:r w:rsidRPr="00B26583">
        <w:rPr>
          <w:sz w:val="16"/>
          <w:szCs w:val="16"/>
        </w:rPr>
        <w:t>Устанавливается Клиенту, если стоимость портфеля ЦБ и остатков денежных средств Клиента на дату начала операций на рынке ЦБ составляет до 30 000 000 рублей.</w:t>
      </w:r>
    </w:p>
    <w:tbl>
      <w:tblPr>
        <w:tblW w:w="4756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439"/>
        <w:gridCol w:w="6849"/>
      </w:tblGrid>
      <w:tr w:rsidR="00A56EB0" w:rsidRPr="00B26583" w:rsidTr="000F203E">
        <w:trPr>
          <w:tblCellSpacing w:w="7" w:type="dxa"/>
        </w:trPr>
        <w:tc>
          <w:tcPr>
            <w:tcW w:w="2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6EB0" w:rsidRPr="00B26583" w:rsidRDefault="00A56EB0" w:rsidP="00A56EB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Размер дневного оборота (руб.)</w:t>
            </w:r>
            <w:r w:rsidR="00D86669" w:rsidRPr="00B26583">
              <w:rPr>
                <w:sz w:val="16"/>
                <w:szCs w:val="16"/>
                <w:vertAlign w:val="superscript"/>
              </w:rPr>
              <w:t xml:space="preserve"> 2</w:t>
            </w:r>
          </w:p>
        </w:tc>
        <w:tc>
          <w:tcPr>
            <w:tcW w:w="6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56EB0" w:rsidRPr="00B26583" w:rsidRDefault="00A56EB0" w:rsidP="00A56EB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 xml:space="preserve">Тариф (вознаграждение Брокера) в % от оборота, за операции с ЦБ, </w:t>
            </w:r>
            <w:r w:rsidR="00B83815" w:rsidRPr="00B26583">
              <w:rPr>
                <w:sz w:val="16"/>
                <w:szCs w:val="16"/>
              </w:rPr>
              <w:t xml:space="preserve">в том числе за сделки, заключенные во исполнение обязательств по поставке базисного актива по срочным контрактам.  </w:t>
            </w:r>
            <w:r w:rsidRPr="00B26583">
              <w:rPr>
                <w:sz w:val="16"/>
                <w:szCs w:val="16"/>
              </w:rPr>
              <w:t xml:space="preserve">НДС не облагается в соответствии со Ст.149 НК РФ. </w:t>
            </w:r>
          </w:p>
        </w:tc>
      </w:tr>
      <w:tr w:rsidR="00A56EB0" w:rsidRPr="00B26583" w:rsidTr="000F203E">
        <w:trPr>
          <w:cantSplit/>
          <w:tblCellSpacing w:w="7" w:type="dxa"/>
        </w:trPr>
        <w:tc>
          <w:tcPr>
            <w:tcW w:w="2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6EB0" w:rsidRPr="00B26583" w:rsidRDefault="00A56EB0" w:rsidP="00A56EB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До 500 000</w:t>
            </w:r>
          </w:p>
        </w:tc>
        <w:tc>
          <w:tcPr>
            <w:tcW w:w="6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56EB0" w:rsidRPr="00B26583" w:rsidRDefault="00A56EB0" w:rsidP="00CA0B6A">
            <w:pPr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0,</w:t>
            </w:r>
            <w:r w:rsidR="00CA0B6A">
              <w:rPr>
                <w:sz w:val="16"/>
                <w:szCs w:val="16"/>
              </w:rPr>
              <w:t>2</w:t>
            </w:r>
          </w:p>
        </w:tc>
      </w:tr>
      <w:tr w:rsidR="00A56EB0" w:rsidRPr="00B26583" w:rsidTr="000F203E">
        <w:trPr>
          <w:cantSplit/>
          <w:tblCellSpacing w:w="7" w:type="dxa"/>
        </w:trPr>
        <w:tc>
          <w:tcPr>
            <w:tcW w:w="2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6EB0" w:rsidRPr="00B26583" w:rsidRDefault="00A56EB0" w:rsidP="00A56EB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От 500 001 до 1 000 000</w:t>
            </w:r>
          </w:p>
        </w:tc>
        <w:tc>
          <w:tcPr>
            <w:tcW w:w="6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56EB0" w:rsidRPr="00B26583" w:rsidRDefault="00A56EB0">
            <w:pPr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0,</w:t>
            </w:r>
            <w:r w:rsidR="00CA0B6A">
              <w:rPr>
                <w:sz w:val="16"/>
                <w:szCs w:val="16"/>
              </w:rPr>
              <w:t>15</w:t>
            </w:r>
          </w:p>
        </w:tc>
      </w:tr>
      <w:tr w:rsidR="00A56EB0" w:rsidRPr="00B26583" w:rsidTr="000F203E">
        <w:trPr>
          <w:cantSplit/>
          <w:tblCellSpacing w:w="7" w:type="dxa"/>
        </w:trPr>
        <w:tc>
          <w:tcPr>
            <w:tcW w:w="2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6EB0" w:rsidRPr="00B26583" w:rsidRDefault="00A56EB0" w:rsidP="00A56EB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От 1 000 001 до 15 000 000</w:t>
            </w:r>
          </w:p>
        </w:tc>
        <w:tc>
          <w:tcPr>
            <w:tcW w:w="6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56EB0" w:rsidRPr="00B26583" w:rsidRDefault="00A56EB0">
            <w:pPr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0,</w:t>
            </w:r>
            <w:r w:rsidR="00CA0B6A">
              <w:rPr>
                <w:sz w:val="16"/>
                <w:szCs w:val="16"/>
              </w:rPr>
              <w:t>13</w:t>
            </w:r>
          </w:p>
        </w:tc>
      </w:tr>
      <w:tr w:rsidR="00A56EB0" w:rsidRPr="00B26583" w:rsidTr="000F203E">
        <w:trPr>
          <w:cantSplit/>
          <w:tblCellSpacing w:w="7" w:type="dxa"/>
        </w:trPr>
        <w:tc>
          <w:tcPr>
            <w:tcW w:w="2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6EB0" w:rsidRPr="00B26583" w:rsidRDefault="00A56EB0" w:rsidP="00A56EB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От 15 000 001 и выше</w:t>
            </w:r>
          </w:p>
        </w:tc>
        <w:tc>
          <w:tcPr>
            <w:tcW w:w="6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56EB0" w:rsidRPr="00B26583" w:rsidRDefault="00A56EB0">
            <w:pPr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0,</w:t>
            </w:r>
            <w:r w:rsidR="00CA0B6A">
              <w:rPr>
                <w:sz w:val="16"/>
                <w:szCs w:val="16"/>
              </w:rPr>
              <w:t>10</w:t>
            </w:r>
          </w:p>
        </w:tc>
      </w:tr>
    </w:tbl>
    <w:p w:rsidR="00A56EB0" w:rsidRPr="00B26583" w:rsidRDefault="00A56EB0" w:rsidP="00A56EB0">
      <w:pPr>
        <w:rPr>
          <w:sz w:val="16"/>
          <w:szCs w:val="16"/>
        </w:rPr>
      </w:pPr>
    </w:p>
    <w:p w:rsidR="00A56EB0" w:rsidRPr="00B26583" w:rsidRDefault="00953F45" w:rsidP="00A56EB0">
      <w:pPr>
        <w:rPr>
          <w:b/>
          <w:sz w:val="16"/>
          <w:szCs w:val="16"/>
        </w:rPr>
      </w:pPr>
      <w:r w:rsidRPr="00B26583">
        <w:rPr>
          <w:b/>
          <w:sz w:val="16"/>
          <w:szCs w:val="16"/>
        </w:rPr>
        <w:t>Тарифный план 2.</w:t>
      </w:r>
    </w:p>
    <w:p w:rsidR="00A56EB0" w:rsidRPr="00B26583" w:rsidRDefault="00A56EB0" w:rsidP="00A56EB0">
      <w:pPr>
        <w:rPr>
          <w:sz w:val="16"/>
          <w:szCs w:val="16"/>
        </w:rPr>
      </w:pPr>
      <w:r w:rsidRPr="00B26583">
        <w:rPr>
          <w:sz w:val="16"/>
          <w:szCs w:val="16"/>
        </w:rPr>
        <w:t>Устанавливается Клиенту, если стоимость портфеля ЦБ и остатков денежных средств Клиента на дату начала операций на рынке ЦБ составляет от 30 000 001 рубля до 150 000 000 рублей.</w:t>
      </w:r>
    </w:p>
    <w:tbl>
      <w:tblPr>
        <w:tblW w:w="4756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436"/>
        <w:gridCol w:w="6852"/>
      </w:tblGrid>
      <w:tr w:rsidR="00A56EB0" w:rsidRPr="00B26583" w:rsidTr="000F203E">
        <w:trPr>
          <w:tblCellSpacing w:w="7" w:type="dxa"/>
        </w:trPr>
        <w:tc>
          <w:tcPr>
            <w:tcW w:w="13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6EB0" w:rsidRPr="00B26583" w:rsidRDefault="00A56EB0" w:rsidP="00A56EB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Размер дневного оборота (руб.)</w:t>
            </w:r>
            <w:r w:rsidR="00D86669" w:rsidRPr="00B26583">
              <w:rPr>
                <w:sz w:val="16"/>
                <w:szCs w:val="16"/>
                <w:vertAlign w:val="superscript"/>
              </w:rPr>
              <w:t xml:space="preserve"> 2</w:t>
            </w:r>
          </w:p>
        </w:tc>
        <w:tc>
          <w:tcPr>
            <w:tcW w:w="3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56EB0" w:rsidRPr="00B26583" w:rsidRDefault="00A56EB0" w:rsidP="00A56EB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 xml:space="preserve">Тариф (вознаграждение Брокера) в % от оборота, за операции с ЦБ, </w:t>
            </w:r>
            <w:r w:rsidR="00B83815" w:rsidRPr="00B26583">
              <w:rPr>
                <w:sz w:val="16"/>
                <w:szCs w:val="16"/>
              </w:rPr>
              <w:t xml:space="preserve">в том числе за сделки, заключенные во исполнение обязательств по поставке базисного актива по срочным контрактам. </w:t>
            </w:r>
            <w:r w:rsidRPr="00B26583">
              <w:rPr>
                <w:sz w:val="16"/>
                <w:szCs w:val="16"/>
              </w:rPr>
              <w:t xml:space="preserve">НДС не облагается в соответствии со Ст.149 НК РФ. </w:t>
            </w:r>
          </w:p>
        </w:tc>
      </w:tr>
      <w:tr w:rsidR="00A56EB0" w:rsidRPr="00B26583" w:rsidTr="000F203E">
        <w:trPr>
          <w:cantSplit/>
          <w:tblCellSpacing w:w="7" w:type="dxa"/>
        </w:trPr>
        <w:tc>
          <w:tcPr>
            <w:tcW w:w="13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6EB0" w:rsidRPr="00B26583" w:rsidRDefault="00A56EB0" w:rsidP="00A56EB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До 500 000</w:t>
            </w:r>
          </w:p>
        </w:tc>
        <w:tc>
          <w:tcPr>
            <w:tcW w:w="3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56EB0" w:rsidRPr="00B26583" w:rsidRDefault="00A56EB0">
            <w:pPr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0,</w:t>
            </w:r>
            <w:r w:rsidR="00CA0B6A">
              <w:rPr>
                <w:sz w:val="16"/>
                <w:szCs w:val="16"/>
              </w:rPr>
              <w:t>2</w:t>
            </w:r>
          </w:p>
        </w:tc>
      </w:tr>
      <w:tr w:rsidR="00A56EB0" w:rsidRPr="00B26583" w:rsidTr="000F203E">
        <w:trPr>
          <w:cantSplit/>
          <w:tblCellSpacing w:w="7" w:type="dxa"/>
        </w:trPr>
        <w:tc>
          <w:tcPr>
            <w:tcW w:w="13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6EB0" w:rsidRPr="00B26583" w:rsidRDefault="00A56EB0" w:rsidP="00A56EB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От 500 001 до 1 000 000</w:t>
            </w:r>
          </w:p>
        </w:tc>
        <w:tc>
          <w:tcPr>
            <w:tcW w:w="3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56EB0" w:rsidRPr="00B26583" w:rsidRDefault="00A56EB0">
            <w:pPr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0,</w:t>
            </w:r>
            <w:r w:rsidR="00CA0B6A">
              <w:rPr>
                <w:sz w:val="16"/>
                <w:szCs w:val="16"/>
              </w:rPr>
              <w:t>15</w:t>
            </w:r>
          </w:p>
        </w:tc>
      </w:tr>
      <w:tr w:rsidR="00A56EB0" w:rsidRPr="00B26583" w:rsidTr="000F203E">
        <w:trPr>
          <w:cantSplit/>
          <w:tblCellSpacing w:w="7" w:type="dxa"/>
        </w:trPr>
        <w:tc>
          <w:tcPr>
            <w:tcW w:w="13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6EB0" w:rsidRPr="00B26583" w:rsidRDefault="00A56EB0" w:rsidP="00A56EB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От 1 000 001 до 15 000 000</w:t>
            </w:r>
          </w:p>
        </w:tc>
        <w:tc>
          <w:tcPr>
            <w:tcW w:w="3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56EB0" w:rsidRPr="00B26583" w:rsidRDefault="00A56EB0">
            <w:pPr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0,</w:t>
            </w:r>
            <w:r w:rsidR="00CA0B6A">
              <w:rPr>
                <w:sz w:val="16"/>
                <w:szCs w:val="16"/>
              </w:rPr>
              <w:t>1</w:t>
            </w:r>
          </w:p>
        </w:tc>
      </w:tr>
      <w:tr w:rsidR="00A56EB0" w:rsidRPr="00B26583" w:rsidTr="000F203E">
        <w:trPr>
          <w:cantSplit/>
          <w:tblCellSpacing w:w="7" w:type="dxa"/>
        </w:trPr>
        <w:tc>
          <w:tcPr>
            <w:tcW w:w="13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6EB0" w:rsidRPr="00B26583" w:rsidRDefault="00A56EB0" w:rsidP="00A56EB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От 15 000 001 и выше</w:t>
            </w:r>
          </w:p>
        </w:tc>
        <w:tc>
          <w:tcPr>
            <w:tcW w:w="3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56EB0" w:rsidRPr="00B26583" w:rsidRDefault="00A56EB0">
            <w:pPr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0,</w:t>
            </w:r>
            <w:r w:rsidR="00CA0B6A">
              <w:rPr>
                <w:sz w:val="16"/>
                <w:szCs w:val="16"/>
              </w:rPr>
              <w:t>08</w:t>
            </w:r>
          </w:p>
        </w:tc>
      </w:tr>
    </w:tbl>
    <w:p w:rsidR="00A56EB0" w:rsidRPr="00B26583" w:rsidRDefault="00A56EB0" w:rsidP="00A56EB0">
      <w:pPr>
        <w:rPr>
          <w:sz w:val="16"/>
          <w:szCs w:val="16"/>
        </w:rPr>
      </w:pPr>
    </w:p>
    <w:p w:rsidR="00A56EB0" w:rsidRPr="00B26583" w:rsidRDefault="00953F45" w:rsidP="00A56EB0">
      <w:pPr>
        <w:rPr>
          <w:b/>
          <w:sz w:val="16"/>
          <w:szCs w:val="16"/>
        </w:rPr>
      </w:pPr>
      <w:r w:rsidRPr="00B26583">
        <w:rPr>
          <w:b/>
          <w:sz w:val="16"/>
          <w:szCs w:val="16"/>
        </w:rPr>
        <w:t>Тарифный план 3.</w:t>
      </w:r>
    </w:p>
    <w:p w:rsidR="00A56EB0" w:rsidRPr="00B26583" w:rsidRDefault="00A56EB0" w:rsidP="000F203E">
      <w:pPr>
        <w:ind w:right="424"/>
        <w:rPr>
          <w:sz w:val="16"/>
          <w:szCs w:val="16"/>
        </w:rPr>
      </w:pPr>
      <w:r w:rsidRPr="00B26583">
        <w:rPr>
          <w:sz w:val="16"/>
          <w:szCs w:val="16"/>
        </w:rPr>
        <w:t>Устанавливается Клиенту, если стоимость портфеля ЦБ и остатков денежных средств Клиента на дату начала операций на рынке ЦБ составляет от 150 000 001 рубля и выше.</w:t>
      </w:r>
    </w:p>
    <w:tbl>
      <w:tblPr>
        <w:tblW w:w="4756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436"/>
        <w:gridCol w:w="6852"/>
      </w:tblGrid>
      <w:tr w:rsidR="00A56EB0" w:rsidRPr="00B26583" w:rsidTr="000F203E">
        <w:trPr>
          <w:tblCellSpacing w:w="7" w:type="dxa"/>
        </w:trPr>
        <w:tc>
          <w:tcPr>
            <w:tcW w:w="13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6EB0" w:rsidRPr="00B26583" w:rsidRDefault="00A56EB0" w:rsidP="00A56EB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Размер дневного оборота (руб.)</w:t>
            </w:r>
            <w:r w:rsidR="00D86669" w:rsidRPr="00B26583">
              <w:rPr>
                <w:sz w:val="16"/>
                <w:szCs w:val="16"/>
                <w:vertAlign w:val="superscript"/>
              </w:rPr>
              <w:t xml:space="preserve"> 2</w:t>
            </w:r>
          </w:p>
        </w:tc>
        <w:tc>
          <w:tcPr>
            <w:tcW w:w="3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56EB0" w:rsidRPr="00B26583" w:rsidRDefault="00A56EB0" w:rsidP="00A56EB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 xml:space="preserve">Тариф (вознаграждение Брокера) в % от оборота, за операции с ЦБ, </w:t>
            </w:r>
            <w:r w:rsidR="00B83815" w:rsidRPr="00B26583">
              <w:rPr>
                <w:sz w:val="16"/>
                <w:szCs w:val="16"/>
              </w:rPr>
              <w:t xml:space="preserve">в том числе за сделки, заключенные во исполнение обязательств по поставке базисного актива по срочным контрактам. </w:t>
            </w:r>
            <w:r w:rsidRPr="00B26583">
              <w:rPr>
                <w:sz w:val="16"/>
                <w:szCs w:val="16"/>
              </w:rPr>
              <w:t xml:space="preserve">НДС не облагается в соответствии со Ст.149 НК РФ. </w:t>
            </w:r>
          </w:p>
        </w:tc>
      </w:tr>
      <w:tr w:rsidR="00A56EB0" w:rsidRPr="00B26583" w:rsidTr="000F203E">
        <w:trPr>
          <w:cantSplit/>
          <w:tblCellSpacing w:w="7" w:type="dxa"/>
        </w:trPr>
        <w:tc>
          <w:tcPr>
            <w:tcW w:w="13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6EB0" w:rsidRPr="00B26583" w:rsidRDefault="00A56EB0" w:rsidP="00A56EB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До 500 000</w:t>
            </w:r>
          </w:p>
        </w:tc>
        <w:tc>
          <w:tcPr>
            <w:tcW w:w="3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56EB0" w:rsidRPr="00B26583" w:rsidRDefault="00A56EB0">
            <w:pPr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0,</w:t>
            </w:r>
            <w:r w:rsidR="008A4D3C">
              <w:rPr>
                <w:sz w:val="16"/>
                <w:szCs w:val="16"/>
              </w:rPr>
              <w:t>15</w:t>
            </w:r>
          </w:p>
        </w:tc>
      </w:tr>
      <w:tr w:rsidR="00A56EB0" w:rsidRPr="00B26583" w:rsidTr="000F203E">
        <w:trPr>
          <w:cantSplit/>
          <w:tblCellSpacing w:w="7" w:type="dxa"/>
        </w:trPr>
        <w:tc>
          <w:tcPr>
            <w:tcW w:w="13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6EB0" w:rsidRPr="00B26583" w:rsidRDefault="00A56EB0" w:rsidP="00A56EB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От 500 001 до 1 000 000</w:t>
            </w:r>
          </w:p>
        </w:tc>
        <w:tc>
          <w:tcPr>
            <w:tcW w:w="3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56EB0" w:rsidRPr="00B26583" w:rsidRDefault="00A56EB0">
            <w:pPr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0,</w:t>
            </w:r>
            <w:r w:rsidR="008A4D3C">
              <w:rPr>
                <w:sz w:val="16"/>
                <w:szCs w:val="16"/>
              </w:rPr>
              <w:t>13</w:t>
            </w:r>
          </w:p>
        </w:tc>
      </w:tr>
      <w:tr w:rsidR="00A56EB0" w:rsidRPr="00B26583" w:rsidTr="000F203E">
        <w:trPr>
          <w:cantSplit/>
          <w:tblCellSpacing w:w="7" w:type="dxa"/>
        </w:trPr>
        <w:tc>
          <w:tcPr>
            <w:tcW w:w="13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6EB0" w:rsidRPr="00B26583" w:rsidRDefault="00A56EB0" w:rsidP="00A56EB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От 1 000 001 до 15 000 000</w:t>
            </w:r>
          </w:p>
        </w:tc>
        <w:tc>
          <w:tcPr>
            <w:tcW w:w="3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56EB0" w:rsidRPr="00B26583" w:rsidRDefault="00A56EB0">
            <w:pPr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0,</w:t>
            </w:r>
            <w:r w:rsidR="008A4D3C">
              <w:rPr>
                <w:sz w:val="16"/>
                <w:szCs w:val="16"/>
              </w:rPr>
              <w:t>1</w:t>
            </w:r>
          </w:p>
        </w:tc>
      </w:tr>
      <w:tr w:rsidR="00A56EB0" w:rsidRPr="00B26583" w:rsidTr="000F203E">
        <w:trPr>
          <w:cantSplit/>
          <w:tblCellSpacing w:w="7" w:type="dxa"/>
        </w:trPr>
        <w:tc>
          <w:tcPr>
            <w:tcW w:w="13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6EB0" w:rsidRPr="00B26583" w:rsidRDefault="00A56EB0" w:rsidP="00A56EB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От 15 000 001 и выше</w:t>
            </w:r>
          </w:p>
        </w:tc>
        <w:tc>
          <w:tcPr>
            <w:tcW w:w="3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56EB0" w:rsidRPr="00B26583" w:rsidRDefault="00A56EB0">
            <w:pPr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0,</w:t>
            </w:r>
            <w:r w:rsidR="008A4D3C">
              <w:rPr>
                <w:sz w:val="16"/>
                <w:szCs w:val="16"/>
              </w:rPr>
              <w:t>06</w:t>
            </w:r>
          </w:p>
        </w:tc>
      </w:tr>
    </w:tbl>
    <w:p w:rsidR="00A56EB0" w:rsidRPr="00B26583" w:rsidRDefault="00A56EB0" w:rsidP="00A56EB0">
      <w:pPr>
        <w:rPr>
          <w:sz w:val="16"/>
          <w:szCs w:val="16"/>
        </w:rPr>
      </w:pPr>
    </w:p>
    <w:p w:rsidR="008B3D16" w:rsidRPr="00B26583" w:rsidRDefault="00046791" w:rsidP="000F203E">
      <w:pPr>
        <w:tabs>
          <w:tab w:val="left" w:pos="8789"/>
        </w:tabs>
        <w:ind w:right="424"/>
        <w:jc w:val="both"/>
        <w:rPr>
          <w:b/>
          <w:bCs/>
          <w:sz w:val="18"/>
          <w:szCs w:val="18"/>
        </w:rPr>
      </w:pPr>
      <w:r w:rsidRPr="00B26583">
        <w:rPr>
          <w:sz w:val="16"/>
          <w:szCs w:val="16"/>
        </w:rPr>
        <w:t xml:space="preserve">Сделки с расчётами в иностранной валюте включаются в «Размер дневного оборота» в российских рублях, по курсу Банка России, установленному на дату совершения такой сделки. </w:t>
      </w:r>
      <w:r w:rsidR="008B3D16" w:rsidRPr="00B26583">
        <w:rPr>
          <w:sz w:val="16"/>
          <w:szCs w:val="16"/>
        </w:rPr>
        <w:t>Комиссионное вознаграждение Брокера по сделкам с расчетами в иностранной валюте удерживается со Счета клиента, в российских рублях, по курсу Банка России, установленному на дату совершения такой сделки</w:t>
      </w:r>
      <w:r w:rsidRPr="00B26583">
        <w:rPr>
          <w:sz w:val="16"/>
          <w:szCs w:val="16"/>
        </w:rPr>
        <w:t>.</w:t>
      </w:r>
    </w:p>
    <w:p w:rsidR="0094643A" w:rsidRPr="00B26583" w:rsidRDefault="0094643A" w:rsidP="0094643A">
      <w:pPr>
        <w:jc w:val="both"/>
        <w:rPr>
          <w:b/>
          <w:bCs/>
          <w:sz w:val="18"/>
          <w:szCs w:val="18"/>
        </w:rPr>
      </w:pPr>
    </w:p>
    <w:p w:rsidR="00A56EB0" w:rsidRPr="00B26583" w:rsidRDefault="00A56EB0" w:rsidP="00A56EB0">
      <w:pPr>
        <w:rPr>
          <w:b/>
          <w:bCs/>
          <w:sz w:val="18"/>
          <w:szCs w:val="18"/>
        </w:rPr>
      </w:pPr>
      <w:r w:rsidRPr="00B26583">
        <w:rPr>
          <w:b/>
          <w:bCs/>
          <w:sz w:val="18"/>
          <w:szCs w:val="18"/>
        </w:rPr>
        <w:t>На срочном рынке:</w:t>
      </w:r>
    </w:p>
    <w:p w:rsidR="00EE3E7B" w:rsidRPr="00B26583" w:rsidRDefault="00EE3E7B" w:rsidP="00A56EB0">
      <w:pPr>
        <w:rPr>
          <w:b/>
          <w:bCs/>
          <w:sz w:val="18"/>
          <w:szCs w:val="18"/>
        </w:rPr>
      </w:pPr>
    </w:p>
    <w:p w:rsidR="00A56EB0" w:rsidRPr="00B26583" w:rsidRDefault="00953F45" w:rsidP="00A56EB0">
      <w:pPr>
        <w:rPr>
          <w:b/>
          <w:sz w:val="16"/>
          <w:szCs w:val="16"/>
        </w:rPr>
      </w:pPr>
      <w:r w:rsidRPr="00B26583">
        <w:rPr>
          <w:b/>
          <w:sz w:val="16"/>
          <w:szCs w:val="16"/>
        </w:rPr>
        <w:t>Тарифный план «Устойчивый».</w:t>
      </w:r>
    </w:p>
    <w:tbl>
      <w:tblPr>
        <w:tblW w:w="4756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9288"/>
      </w:tblGrid>
      <w:tr w:rsidR="00A56EB0" w:rsidRPr="00B26583" w:rsidTr="000F203E">
        <w:trPr>
          <w:tblCellSpacing w:w="7" w:type="dxa"/>
        </w:trPr>
        <w:tc>
          <w:tcPr>
            <w:tcW w:w="9387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C31862" w:rsidRPr="00B26583" w:rsidRDefault="00A56EB0">
            <w:pPr>
              <w:jc w:val="both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Тариф (вознаграждение Брокера) за операции на срочном рынке</w:t>
            </w:r>
            <w:r w:rsidR="007C409D" w:rsidRPr="00B26583">
              <w:rPr>
                <w:sz w:val="16"/>
                <w:szCs w:val="16"/>
              </w:rPr>
              <w:t xml:space="preserve"> в том числе за сделки, заключенные во исполнение обязательств по поставке базисного актива по срочным контрактам</w:t>
            </w:r>
            <w:r w:rsidRPr="00B26583">
              <w:rPr>
                <w:sz w:val="16"/>
                <w:szCs w:val="16"/>
              </w:rPr>
              <w:t>.</w:t>
            </w:r>
            <w:r w:rsidR="00834F6B" w:rsidRPr="00B26583">
              <w:rPr>
                <w:sz w:val="16"/>
                <w:szCs w:val="16"/>
              </w:rPr>
              <w:t xml:space="preserve"> </w:t>
            </w:r>
            <w:r w:rsidRPr="00B26583">
              <w:rPr>
                <w:sz w:val="16"/>
                <w:szCs w:val="16"/>
              </w:rPr>
              <w:t xml:space="preserve"> НДС не облагается в соответствии со Ст.149 НК РФ.</w:t>
            </w:r>
          </w:p>
        </w:tc>
      </w:tr>
      <w:tr w:rsidR="00A56EB0" w:rsidRPr="00B26583" w:rsidTr="000F203E">
        <w:trPr>
          <w:cantSplit/>
          <w:tblCellSpacing w:w="7" w:type="dxa"/>
        </w:trPr>
        <w:tc>
          <w:tcPr>
            <w:tcW w:w="9387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A56EB0" w:rsidRPr="00B26583" w:rsidRDefault="00A56EB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 xml:space="preserve">Комиссия Брокера составляет </w:t>
            </w:r>
            <w:r w:rsidR="00EC7EBC">
              <w:rPr>
                <w:sz w:val="16"/>
                <w:szCs w:val="16"/>
              </w:rPr>
              <w:t xml:space="preserve"> </w:t>
            </w:r>
            <w:r w:rsidR="00CD124D">
              <w:rPr>
                <w:sz w:val="16"/>
                <w:szCs w:val="16"/>
              </w:rPr>
              <w:t xml:space="preserve">2 </w:t>
            </w:r>
            <w:r w:rsidR="00EC7EBC">
              <w:rPr>
                <w:sz w:val="16"/>
                <w:szCs w:val="16"/>
              </w:rPr>
              <w:t>руб. за контракт</w:t>
            </w:r>
            <w:r w:rsidRPr="00B26583">
              <w:rPr>
                <w:sz w:val="16"/>
                <w:szCs w:val="16"/>
              </w:rPr>
              <w:t>.</w:t>
            </w:r>
          </w:p>
        </w:tc>
      </w:tr>
      <w:tr w:rsidR="00A56EB0" w:rsidRPr="00B26583" w:rsidTr="000F203E">
        <w:trPr>
          <w:cantSplit/>
          <w:tblCellSpacing w:w="7" w:type="dxa"/>
        </w:trPr>
        <w:tc>
          <w:tcPr>
            <w:tcW w:w="9387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A56EB0" w:rsidRPr="00B26583" w:rsidRDefault="00A56EB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 xml:space="preserve">Комиссия Брокера за принудительное закрытие Брокером позиций Клиента    </w:t>
            </w:r>
            <w:r w:rsidR="00CD124D">
              <w:rPr>
                <w:sz w:val="16"/>
                <w:szCs w:val="16"/>
              </w:rPr>
              <w:t>10</w:t>
            </w:r>
            <w:r w:rsidRPr="00B26583">
              <w:rPr>
                <w:sz w:val="16"/>
                <w:szCs w:val="16"/>
              </w:rPr>
              <w:t xml:space="preserve"> руб. за контракт.  </w:t>
            </w:r>
          </w:p>
        </w:tc>
      </w:tr>
    </w:tbl>
    <w:p w:rsidR="00A56EB0" w:rsidRPr="00B26583" w:rsidRDefault="00A56EB0" w:rsidP="00A56EB0">
      <w:pPr>
        <w:rPr>
          <w:sz w:val="16"/>
          <w:szCs w:val="16"/>
        </w:rPr>
      </w:pPr>
    </w:p>
    <w:p w:rsidR="00A56EB0" w:rsidRPr="00B26583" w:rsidRDefault="0094643A" w:rsidP="00A56EB0">
      <w:pPr>
        <w:rPr>
          <w:b/>
          <w:sz w:val="16"/>
          <w:szCs w:val="16"/>
        </w:rPr>
      </w:pPr>
      <w:r w:rsidRPr="00B26583">
        <w:rPr>
          <w:b/>
          <w:sz w:val="16"/>
          <w:szCs w:val="16"/>
        </w:rPr>
        <w:t xml:space="preserve">Тарифный план «Субброкер» </w:t>
      </w:r>
      <w:r w:rsidR="00953F45" w:rsidRPr="00B26583">
        <w:rPr>
          <w:b/>
          <w:sz w:val="16"/>
          <w:szCs w:val="16"/>
        </w:rPr>
        <w:t>- только для Клиентов-</w:t>
      </w:r>
      <w:proofErr w:type="spellStart"/>
      <w:r w:rsidR="00953F45" w:rsidRPr="00B26583">
        <w:rPr>
          <w:b/>
          <w:sz w:val="16"/>
          <w:szCs w:val="16"/>
        </w:rPr>
        <w:t>субброкеров</w:t>
      </w:r>
      <w:proofErr w:type="spellEnd"/>
      <w:r w:rsidR="00953F45" w:rsidRPr="00B26583">
        <w:rPr>
          <w:b/>
          <w:sz w:val="16"/>
          <w:szCs w:val="16"/>
        </w:rPr>
        <w:t>, биржевых посредников</w:t>
      </w:r>
    </w:p>
    <w:tbl>
      <w:tblPr>
        <w:tblW w:w="4756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9288"/>
      </w:tblGrid>
      <w:tr w:rsidR="00A56EB0" w:rsidRPr="00B26583" w:rsidTr="000F203E">
        <w:trPr>
          <w:tblCellSpacing w:w="7" w:type="dxa"/>
        </w:trPr>
        <w:tc>
          <w:tcPr>
            <w:tcW w:w="9387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C31862" w:rsidRPr="00B26583" w:rsidRDefault="00A56EB0">
            <w:pPr>
              <w:jc w:val="both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Тариф (вознаграждение Брокера) за операции на срочном рынке</w:t>
            </w:r>
            <w:r w:rsidR="007C409D" w:rsidRPr="00B26583">
              <w:rPr>
                <w:sz w:val="16"/>
                <w:szCs w:val="16"/>
              </w:rPr>
              <w:t xml:space="preserve"> в том числе за сделки, заключенные во исполнение обязательств по поставке базисного актива по срочным контрактам</w:t>
            </w:r>
            <w:r w:rsidRPr="00B26583">
              <w:rPr>
                <w:sz w:val="16"/>
                <w:szCs w:val="16"/>
              </w:rPr>
              <w:t>. НДС не облагается в соответствии со Ст.149 НК РФ.</w:t>
            </w:r>
          </w:p>
        </w:tc>
      </w:tr>
      <w:tr w:rsidR="00A56EB0" w:rsidRPr="00B26583" w:rsidTr="000F203E">
        <w:trPr>
          <w:cantSplit/>
          <w:tblCellSpacing w:w="7" w:type="dxa"/>
        </w:trPr>
        <w:tc>
          <w:tcPr>
            <w:tcW w:w="9387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847C5" w:rsidRPr="00B26583" w:rsidRDefault="00A56EB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 xml:space="preserve">Комиссия Брокера составляет </w:t>
            </w:r>
            <w:r w:rsidR="00EC7EBC">
              <w:rPr>
                <w:sz w:val="16"/>
                <w:szCs w:val="16"/>
              </w:rPr>
              <w:t xml:space="preserve"> 0,</w:t>
            </w:r>
            <w:r w:rsidR="00CD124D">
              <w:rPr>
                <w:sz w:val="16"/>
                <w:szCs w:val="16"/>
              </w:rPr>
              <w:t xml:space="preserve">5 </w:t>
            </w:r>
            <w:r w:rsidR="00EC7EBC">
              <w:rPr>
                <w:sz w:val="16"/>
                <w:szCs w:val="16"/>
              </w:rPr>
              <w:t>руб. за контракт</w:t>
            </w:r>
            <w:r w:rsidR="00217ADB">
              <w:rPr>
                <w:sz w:val="16"/>
                <w:szCs w:val="16"/>
              </w:rPr>
              <w:t xml:space="preserve"> *</w:t>
            </w:r>
            <w:r w:rsidR="001E14A8" w:rsidRPr="00B26583">
              <w:rPr>
                <w:sz w:val="16"/>
                <w:szCs w:val="16"/>
              </w:rPr>
              <w:t>.</w:t>
            </w:r>
          </w:p>
        </w:tc>
      </w:tr>
      <w:tr w:rsidR="00A56EB0" w:rsidRPr="00B26583" w:rsidTr="000F203E">
        <w:trPr>
          <w:cantSplit/>
          <w:tblCellSpacing w:w="7" w:type="dxa"/>
        </w:trPr>
        <w:tc>
          <w:tcPr>
            <w:tcW w:w="9387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A56EB0" w:rsidRPr="00B26583" w:rsidRDefault="00A56EB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 xml:space="preserve">Комиссия Брокера за принудительное закрытие Брокером позиций Клиента    </w:t>
            </w:r>
            <w:r w:rsidR="00CD124D">
              <w:rPr>
                <w:sz w:val="16"/>
                <w:szCs w:val="16"/>
              </w:rPr>
              <w:t>7</w:t>
            </w:r>
            <w:r w:rsidRPr="00B26583">
              <w:rPr>
                <w:sz w:val="16"/>
                <w:szCs w:val="16"/>
              </w:rPr>
              <w:t xml:space="preserve"> руб. за контракт.</w:t>
            </w:r>
          </w:p>
        </w:tc>
      </w:tr>
    </w:tbl>
    <w:p w:rsidR="00A56EB0" w:rsidRPr="00B26583" w:rsidRDefault="00A56EB0" w:rsidP="00A56EB0">
      <w:pPr>
        <w:rPr>
          <w:sz w:val="16"/>
          <w:szCs w:val="16"/>
        </w:rPr>
      </w:pPr>
      <w:r w:rsidRPr="00B26583">
        <w:rPr>
          <w:sz w:val="16"/>
          <w:szCs w:val="16"/>
        </w:rPr>
        <w:t xml:space="preserve">* с текущими комиссиями биржи Вы можете ознакомиться по адресу: </w:t>
      </w:r>
      <w:hyperlink r:id="rId8" w:history="1">
        <w:r w:rsidR="005543C8" w:rsidRPr="00B26583">
          <w:rPr>
            <w:rStyle w:val="a6"/>
            <w:sz w:val="16"/>
            <w:szCs w:val="16"/>
          </w:rPr>
          <w:t>http</w:t>
        </w:r>
        <w:r w:rsidR="005543C8" w:rsidRPr="00B26583">
          <w:rPr>
            <w:rStyle w:val="a6"/>
            <w:sz w:val="16"/>
            <w:szCs w:val="16"/>
            <w:lang w:val="en-US"/>
          </w:rPr>
          <w:t>s</w:t>
        </w:r>
        <w:r w:rsidR="005543C8" w:rsidRPr="00B26583">
          <w:rPr>
            <w:rStyle w:val="a6"/>
            <w:sz w:val="16"/>
            <w:szCs w:val="16"/>
          </w:rPr>
          <w:t>://moex.com/</w:t>
        </w:r>
      </w:hyperlink>
    </w:p>
    <w:p w:rsidR="005668D1" w:rsidRPr="00B26583" w:rsidRDefault="005668D1" w:rsidP="00A56EB0">
      <w:pPr>
        <w:rPr>
          <w:sz w:val="16"/>
          <w:szCs w:val="16"/>
        </w:rPr>
      </w:pPr>
    </w:p>
    <w:p w:rsidR="00E619E6" w:rsidRPr="00B26583" w:rsidRDefault="00953F45" w:rsidP="000F203E">
      <w:pPr>
        <w:ind w:right="424"/>
        <w:jc w:val="both"/>
        <w:rPr>
          <w:b/>
          <w:sz w:val="16"/>
          <w:szCs w:val="16"/>
        </w:rPr>
      </w:pPr>
      <w:r w:rsidRPr="00B26583">
        <w:rPr>
          <w:b/>
          <w:sz w:val="16"/>
          <w:szCs w:val="16"/>
        </w:rPr>
        <w:t xml:space="preserve">Дополнительное вознаграждение Брокера за оказание сопутствующих услуг (в </w:t>
      </w:r>
      <w:proofErr w:type="spellStart"/>
      <w:r w:rsidRPr="00B26583">
        <w:rPr>
          <w:b/>
          <w:sz w:val="16"/>
          <w:szCs w:val="16"/>
        </w:rPr>
        <w:t>т.ч</w:t>
      </w:r>
      <w:proofErr w:type="spellEnd"/>
      <w:r w:rsidRPr="00B26583">
        <w:rPr>
          <w:b/>
          <w:sz w:val="16"/>
          <w:szCs w:val="16"/>
        </w:rPr>
        <w:t>. за пред</w:t>
      </w:r>
      <w:r w:rsidR="0094643A" w:rsidRPr="00B26583">
        <w:rPr>
          <w:b/>
          <w:sz w:val="16"/>
          <w:szCs w:val="16"/>
        </w:rPr>
        <w:t xml:space="preserve">оставление условий, на которых </w:t>
      </w:r>
      <w:r w:rsidRPr="00B26583">
        <w:rPr>
          <w:b/>
          <w:sz w:val="16"/>
          <w:szCs w:val="16"/>
        </w:rPr>
        <w:t>Брокер принимает обязательства заключать договоры, являющиеся производными финансовыми инструментами, за счет клиентов Брокера).</w:t>
      </w:r>
    </w:p>
    <w:tbl>
      <w:tblPr>
        <w:tblW w:w="4756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113"/>
        <w:gridCol w:w="5175"/>
      </w:tblGrid>
      <w:tr w:rsidR="005668D1" w:rsidRPr="00B26583" w:rsidTr="000F203E">
        <w:trPr>
          <w:tblCellSpacing w:w="7" w:type="dxa"/>
        </w:trPr>
        <w:tc>
          <w:tcPr>
            <w:tcW w:w="220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8D1" w:rsidRPr="00B26583" w:rsidRDefault="005668D1" w:rsidP="007B044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Наименование операции</w:t>
            </w:r>
          </w:p>
        </w:tc>
        <w:tc>
          <w:tcPr>
            <w:tcW w:w="2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668D1" w:rsidRPr="00B26583" w:rsidRDefault="005668D1" w:rsidP="007B044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Размер вознаграждения. НДС не облагается в соответствии со Ст.149 НК РФ.</w:t>
            </w:r>
          </w:p>
        </w:tc>
      </w:tr>
      <w:tr w:rsidR="005668D1" w:rsidRPr="00B26583" w:rsidTr="000F203E">
        <w:trPr>
          <w:tblCellSpacing w:w="7" w:type="dxa"/>
        </w:trPr>
        <w:tc>
          <w:tcPr>
            <w:tcW w:w="220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8D1" w:rsidRPr="00B26583" w:rsidRDefault="005668D1" w:rsidP="007B044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Поддержание Брокером срочной позиции Клиента в связи с  возникновением задолженности Клиента по гарантийному обеспечению на срочном рынке.</w:t>
            </w:r>
          </w:p>
        </w:tc>
        <w:tc>
          <w:tcPr>
            <w:tcW w:w="2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D4A61" w:rsidRPr="00B26583" w:rsidRDefault="003101EA">
            <w:pPr>
              <w:rPr>
                <w:sz w:val="16"/>
                <w:szCs w:val="16"/>
              </w:rPr>
            </w:pPr>
            <w:r w:rsidRPr="003101EA">
              <w:rPr>
                <w:b/>
                <w:sz w:val="16"/>
                <w:szCs w:val="16"/>
              </w:rPr>
              <w:t>Ключевая ставка +</w:t>
            </w:r>
            <w:r w:rsidR="00A835F1">
              <w:rPr>
                <w:b/>
                <w:sz w:val="16"/>
                <w:szCs w:val="16"/>
              </w:rPr>
              <w:t xml:space="preserve"> </w:t>
            </w:r>
            <w:r w:rsidRPr="003101EA">
              <w:rPr>
                <w:b/>
                <w:sz w:val="16"/>
                <w:szCs w:val="16"/>
              </w:rPr>
              <w:t>7% годовых</w:t>
            </w:r>
            <w:r w:rsidRPr="003101EA" w:rsidDel="003101EA">
              <w:rPr>
                <w:b/>
                <w:sz w:val="16"/>
                <w:szCs w:val="16"/>
              </w:rPr>
              <w:t xml:space="preserve"> </w:t>
            </w:r>
            <w:r w:rsidR="005668D1" w:rsidRPr="00B26583">
              <w:rPr>
                <w:sz w:val="16"/>
                <w:szCs w:val="16"/>
              </w:rPr>
              <w:t>от суммы задолженности по итогам вечерней клиринговой сессии</w:t>
            </w:r>
          </w:p>
        </w:tc>
      </w:tr>
    </w:tbl>
    <w:p w:rsidR="00A56EB0" w:rsidRPr="00B26583" w:rsidRDefault="00A56EB0" w:rsidP="000F203E">
      <w:pPr>
        <w:ind w:right="424"/>
        <w:jc w:val="both"/>
        <w:rPr>
          <w:sz w:val="16"/>
          <w:szCs w:val="16"/>
        </w:rPr>
      </w:pPr>
      <w:r w:rsidRPr="00B26583">
        <w:rPr>
          <w:sz w:val="16"/>
          <w:szCs w:val="16"/>
        </w:rPr>
        <w:lastRenderedPageBreak/>
        <w:t xml:space="preserve">Клиент – юридическое лицо может изменить тарифный план в зависимости от стоимости портфеля ЦБ и остатков денежных средств Клиента, но не чаще, чем один раз в календарный месяц путем направления Брокеру не позднее трех рабочих дней до окончания текущего месяца Заявления об изменении условий </w:t>
      </w:r>
      <w:r w:rsidR="00A6527D" w:rsidRPr="00B26583">
        <w:rPr>
          <w:sz w:val="16"/>
          <w:szCs w:val="16"/>
        </w:rPr>
        <w:t>обслуживания</w:t>
      </w:r>
      <w:r w:rsidRPr="00B26583">
        <w:rPr>
          <w:sz w:val="16"/>
          <w:szCs w:val="16"/>
        </w:rPr>
        <w:t xml:space="preserve"> (Приложение №</w:t>
      </w:r>
      <w:r w:rsidR="00A6527D" w:rsidRPr="00B26583">
        <w:rPr>
          <w:sz w:val="16"/>
          <w:szCs w:val="16"/>
        </w:rPr>
        <w:t xml:space="preserve">2г </w:t>
      </w:r>
      <w:r w:rsidRPr="00B26583">
        <w:rPr>
          <w:sz w:val="16"/>
          <w:szCs w:val="16"/>
        </w:rPr>
        <w:t xml:space="preserve">к Регламенту). Новый тариф вступает в действие с 01 числа месяца, следующего за тем, в котором Клиентом было направлено указанное Заявление об изменении условий </w:t>
      </w:r>
      <w:r w:rsidR="00A6527D" w:rsidRPr="00B26583">
        <w:rPr>
          <w:sz w:val="16"/>
          <w:szCs w:val="16"/>
        </w:rPr>
        <w:t>обслуживания</w:t>
      </w:r>
      <w:r w:rsidRPr="00B26583">
        <w:rPr>
          <w:sz w:val="16"/>
          <w:szCs w:val="16"/>
        </w:rPr>
        <w:t>.</w:t>
      </w:r>
    </w:p>
    <w:p w:rsidR="00841C6D" w:rsidRPr="00B26583" w:rsidRDefault="00841C6D" w:rsidP="00A56EB0">
      <w:pPr>
        <w:rPr>
          <w:b/>
          <w:bCs/>
          <w:sz w:val="20"/>
          <w:szCs w:val="20"/>
          <w:u w:val="single"/>
        </w:rPr>
      </w:pPr>
    </w:p>
    <w:p w:rsidR="00A56EB0" w:rsidRPr="00B26583" w:rsidRDefault="00FD4B29" w:rsidP="00A56EB0">
      <w:pPr>
        <w:rPr>
          <w:b/>
          <w:bCs/>
          <w:sz w:val="20"/>
          <w:szCs w:val="20"/>
          <w:u w:val="single"/>
        </w:rPr>
      </w:pPr>
      <w:r w:rsidRPr="00B26583">
        <w:rPr>
          <w:b/>
          <w:bCs/>
          <w:sz w:val="20"/>
          <w:szCs w:val="20"/>
          <w:u w:val="single"/>
        </w:rPr>
        <w:t>Тарифы для физического лица</w:t>
      </w:r>
    </w:p>
    <w:p w:rsidR="00A56EB0" w:rsidRPr="00B26583" w:rsidRDefault="00A56EB0" w:rsidP="00A56EB0">
      <w:pPr>
        <w:rPr>
          <w:b/>
          <w:sz w:val="16"/>
          <w:szCs w:val="16"/>
          <w:u w:val="single"/>
        </w:rPr>
      </w:pPr>
    </w:p>
    <w:p w:rsidR="00A56EB0" w:rsidRPr="00B26583" w:rsidRDefault="00A56EB0" w:rsidP="00A56EB0">
      <w:pPr>
        <w:rPr>
          <w:b/>
          <w:bCs/>
          <w:sz w:val="18"/>
          <w:szCs w:val="18"/>
        </w:rPr>
      </w:pPr>
      <w:r w:rsidRPr="00B26583">
        <w:rPr>
          <w:b/>
          <w:bCs/>
          <w:sz w:val="18"/>
          <w:szCs w:val="18"/>
        </w:rPr>
        <w:t>На рынке ценных бумаг:</w:t>
      </w:r>
    </w:p>
    <w:p w:rsidR="00841C6D" w:rsidRPr="00B26583" w:rsidRDefault="00841C6D" w:rsidP="00A56EB0">
      <w:pPr>
        <w:rPr>
          <w:sz w:val="16"/>
          <w:szCs w:val="16"/>
        </w:rPr>
      </w:pPr>
    </w:p>
    <w:p w:rsidR="00A56EB0" w:rsidRPr="00B26583" w:rsidRDefault="00953F45" w:rsidP="00A56EB0">
      <w:pPr>
        <w:rPr>
          <w:b/>
          <w:sz w:val="16"/>
          <w:szCs w:val="16"/>
        </w:rPr>
      </w:pPr>
      <w:r w:rsidRPr="00B26583">
        <w:rPr>
          <w:b/>
          <w:sz w:val="16"/>
          <w:szCs w:val="16"/>
        </w:rPr>
        <w:t>Тарифный план «Устойчивый».</w:t>
      </w:r>
    </w:p>
    <w:tbl>
      <w:tblPr>
        <w:tblW w:w="4787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9348"/>
      </w:tblGrid>
      <w:tr w:rsidR="00A835F1" w:rsidRPr="00B26583" w:rsidTr="00A835F1">
        <w:trPr>
          <w:tblCellSpacing w:w="7" w:type="dxa"/>
        </w:trPr>
        <w:tc>
          <w:tcPr>
            <w:tcW w:w="9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835F1" w:rsidRPr="00B26583" w:rsidRDefault="00A835F1" w:rsidP="003B4A76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 xml:space="preserve">Тариф (вознаграждение Брокера) в % от оборота за операции с ЦБ, в том числе за сделки, заключенные во исполнение обязательств по поставке базисного актива по срочным контрактам. НДС не облагается в соответствии со Ст.149 НК РФ. </w:t>
            </w:r>
          </w:p>
        </w:tc>
      </w:tr>
      <w:tr w:rsidR="00A835F1" w:rsidRPr="00B26583" w:rsidTr="00A835F1">
        <w:trPr>
          <w:cantSplit/>
          <w:tblCellSpacing w:w="7" w:type="dxa"/>
        </w:trPr>
        <w:tc>
          <w:tcPr>
            <w:tcW w:w="9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835F1" w:rsidRPr="00B26583" w:rsidRDefault="00A83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0,1</w:t>
            </w:r>
          </w:p>
        </w:tc>
      </w:tr>
    </w:tbl>
    <w:p w:rsidR="00841C6D" w:rsidRPr="00B26583" w:rsidRDefault="00841C6D" w:rsidP="00A56EB0">
      <w:pPr>
        <w:rPr>
          <w:sz w:val="16"/>
          <w:szCs w:val="16"/>
        </w:rPr>
      </w:pPr>
    </w:p>
    <w:p w:rsidR="00A56EB0" w:rsidRPr="00B26583" w:rsidRDefault="00953F45" w:rsidP="00A56EB0">
      <w:pPr>
        <w:rPr>
          <w:b/>
          <w:sz w:val="16"/>
          <w:szCs w:val="16"/>
        </w:rPr>
      </w:pPr>
      <w:r w:rsidRPr="00B26583">
        <w:rPr>
          <w:b/>
          <w:sz w:val="16"/>
          <w:szCs w:val="16"/>
        </w:rPr>
        <w:t>Тарифный план «Голосовой», применяется при проведении операций через трейдера Брокера.</w:t>
      </w:r>
    </w:p>
    <w:tbl>
      <w:tblPr>
        <w:tblW w:w="4787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9348"/>
      </w:tblGrid>
      <w:tr w:rsidR="00A835F1" w:rsidRPr="00B26583" w:rsidTr="00A835F1">
        <w:trPr>
          <w:tblCellSpacing w:w="7" w:type="dxa"/>
        </w:trPr>
        <w:tc>
          <w:tcPr>
            <w:tcW w:w="9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835F1" w:rsidRPr="00B26583" w:rsidRDefault="00A835F1" w:rsidP="00166F54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 xml:space="preserve">Тариф (вознаграждение Брокера) в % от оборота за операции с ЦБ, в том числе за сделки, заключенные во исполнение обязательств по поставке базисного актива по срочным контрактам. НДС не облагается в соответствии со Ст.149 НК РФ. </w:t>
            </w:r>
          </w:p>
        </w:tc>
      </w:tr>
      <w:tr w:rsidR="00A835F1" w:rsidRPr="00B26583" w:rsidTr="00A835F1">
        <w:trPr>
          <w:cantSplit/>
          <w:tblCellSpacing w:w="7" w:type="dxa"/>
        </w:trPr>
        <w:tc>
          <w:tcPr>
            <w:tcW w:w="9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835F1" w:rsidRPr="00B26583" w:rsidRDefault="00A83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0,2</w:t>
            </w:r>
          </w:p>
        </w:tc>
      </w:tr>
    </w:tbl>
    <w:p w:rsidR="00EC723F" w:rsidRPr="00B26583" w:rsidRDefault="00EC723F" w:rsidP="00A56EB0">
      <w:pPr>
        <w:rPr>
          <w:b/>
          <w:sz w:val="16"/>
          <w:szCs w:val="16"/>
        </w:rPr>
      </w:pPr>
    </w:p>
    <w:p w:rsidR="00A835F1" w:rsidRDefault="00A835F1" w:rsidP="00A56EB0">
      <w:pPr>
        <w:rPr>
          <w:b/>
          <w:bCs/>
          <w:sz w:val="18"/>
          <w:szCs w:val="18"/>
        </w:rPr>
      </w:pPr>
    </w:p>
    <w:p w:rsidR="00A56EB0" w:rsidRPr="00B26583" w:rsidRDefault="00A56EB0" w:rsidP="00A56EB0">
      <w:pPr>
        <w:rPr>
          <w:b/>
          <w:bCs/>
          <w:sz w:val="18"/>
          <w:szCs w:val="18"/>
        </w:rPr>
      </w:pPr>
      <w:r w:rsidRPr="00B26583">
        <w:rPr>
          <w:b/>
          <w:bCs/>
          <w:sz w:val="18"/>
          <w:szCs w:val="18"/>
        </w:rPr>
        <w:t>На срочном рынке:</w:t>
      </w:r>
    </w:p>
    <w:p w:rsidR="00A56EB0" w:rsidRPr="00B26583" w:rsidRDefault="00A56EB0" w:rsidP="00A56EB0">
      <w:pPr>
        <w:rPr>
          <w:sz w:val="16"/>
          <w:szCs w:val="16"/>
        </w:rPr>
      </w:pPr>
    </w:p>
    <w:p w:rsidR="00A56EB0" w:rsidRPr="00B26583" w:rsidRDefault="00953F45" w:rsidP="00A56EB0">
      <w:pPr>
        <w:rPr>
          <w:b/>
          <w:sz w:val="16"/>
          <w:szCs w:val="16"/>
        </w:rPr>
      </w:pPr>
      <w:r w:rsidRPr="00B26583">
        <w:rPr>
          <w:b/>
          <w:sz w:val="16"/>
          <w:szCs w:val="16"/>
        </w:rPr>
        <w:t>Тарифный план «Устойчивый».</w:t>
      </w:r>
    </w:p>
    <w:tbl>
      <w:tblPr>
        <w:tblW w:w="4756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9288"/>
      </w:tblGrid>
      <w:tr w:rsidR="00A56EB0" w:rsidRPr="00B26583" w:rsidTr="000F203E">
        <w:trPr>
          <w:tblCellSpacing w:w="7" w:type="dxa"/>
        </w:trPr>
        <w:tc>
          <w:tcPr>
            <w:tcW w:w="9387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C31862" w:rsidRPr="00B26583" w:rsidRDefault="00A56EB0">
            <w:pPr>
              <w:jc w:val="both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Тариф (вознаграждение Брокера) за операции на срочном рынке</w:t>
            </w:r>
            <w:r w:rsidR="007C409D" w:rsidRPr="00B26583">
              <w:rPr>
                <w:sz w:val="16"/>
                <w:szCs w:val="16"/>
              </w:rPr>
              <w:t xml:space="preserve"> в том числе за сделки, заключенные во исполнение обязательств по поставке базисного актива по срочным контрактам</w:t>
            </w:r>
            <w:r w:rsidRPr="00B26583">
              <w:rPr>
                <w:sz w:val="16"/>
                <w:szCs w:val="16"/>
              </w:rPr>
              <w:t>. НДС не облагается в соответствии со Ст.149 НК РФ.</w:t>
            </w:r>
          </w:p>
        </w:tc>
      </w:tr>
      <w:tr w:rsidR="00A56EB0" w:rsidRPr="00B26583" w:rsidTr="000F203E">
        <w:trPr>
          <w:cantSplit/>
          <w:tblCellSpacing w:w="7" w:type="dxa"/>
        </w:trPr>
        <w:tc>
          <w:tcPr>
            <w:tcW w:w="9387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A56EB0" w:rsidRPr="00B26583" w:rsidRDefault="00A56EB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 xml:space="preserve">Комиссия Брокера составляет </w:t>
            </w:r>
            <w:r w:rsidR="00DA6DC7">
              <w:rPr>
                <w:sz w:val="16"/>
                <w:szCs w:val="16"/>
              </w:rPr>
              <w:t xml:space="preserve">2 </w:t>
            </w:r>
            <w:r w:rsidR="00EC7EBC">
              <w:rPr>
                <w:sz w:val="16"/>
                <w:szCs w:val="16"/>
              </w:rPr>
              <w:t>руб. за контракт</w:t>
            </w:r>
            <w:r w:rsidRPr="00B26583">
              <w:rPr>
                <w:sz w:val="16"/>
                <w:szCs w:val="16"/>
              </w:rPr>
              <w:t xml:space="preserve">.  </w:t>
            </w:r>
          </w:p>
        </w:tc>
      </w:tr>
      <w:tr w:rsidR="00A56EB0" w:rsidRPr="00B26583" w:rsidTr="000F203E">
        <w:trPr>
          <w:cantSplit/>
          <w:tblCellSpacing w:w="7" w:type="dxa"/>
        </w:trPr>
        <w:tc>
          <w:tcPr>
            <w:tcW w:w="9387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A56EB0" w:rsidRPr="00B26583" w:rsidRDefault="00A56EB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 xml:space="preserve">Комиссия Брокера за принудительное закрытие Брокером позиций Клиента    </w:t>
            </w:r>
            <w:r w:rsidR="00DA6DC7">
              <w:rPr>
                <w:sz w:val="16"/>
                <w:szCs w:val="16"/>
              </w:rPr>
              <w:t>10</w:t>
            </w:r>
            <w:r w:rsidRPr="00B26583">
              <w:rPr>
                <w:sz w:val="16"/>
                <w:szCs w:val="16"/>
              </w:rPr>
              <w:t xml:space="preserve"> руб. за контракт. </w:t>
            </w:r>
          </w:p>
        </w:tc>
      </w:tr>
    </w:tbl>
    <w:p w:rsidR="00735EC6" w:rsidRPr="00B26583" w:rsidRDefault="00735EC6" w:rsidP="00735EC6">
      <w:pPr>
        <w:rPr>
          <w:b/>
          <w:sz w:val="16"/>
          <w:szCs w:val="16"/>
        </w:rPr>
      </w:pPr>
    </w:p>
    <w:p w:rsidR="00A56EB0" w:rsidRPr="00B26583" w:rsidRDefault="00953F45" w:rsidP="00A56EB0">
      <w:pPr>
        <w:rPr>
          <w:b/>
          <w:sz w:val="16"/>
          <w:szCs w:val="16"/>
        </w:rPr>
      </w:pPr>
      <w:r w:rsidRPr="00B26583">
        <w:rPr>
          <w:b/>
          <w:sz w:val="16"/>
          <w:szCs w:val="16"/>
        </w:rPr>
        <w:t>Тарифный план «Голосовой», применяется при проведении операций через трейдера Брокера.</w:t>
      </w:r>
    </w:p>
    <w:tbl>
      <w:tblPr>
        <w:tblW w:w="4756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9288"/>
      </w:tblGrid>
      <w:tr w:rsidR="00A56EB0" w:rsidRPr="00B26583" w:rsidTr="000F203E">
        <w:trPr>
          <w:tblCellSpacing w:w="7" w:type="dxa"/>
        </w:trPr>
        <w:tc>
          <w:tcPr>
            <w:tcW w:w="9387" w:type="dxa"/>
            <w:vAlign w:val="center"/>
          </w:tcPr>
          <w:p w:rsidR="00C31862" w:rsidRPr="00B26583" w:rsidRDefault="00A56EB0">
            <w:pPr>
              <w:jc w:val="both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Тариф (вознаграждение Брокера) за операции на срочном рынке</w:t>
            </w:r>
            <w:r w:rsidR="007C409D" w:rsidRPr="00B26583">
              <w:rPr>
                <w:sz w:val="16"/>
                <w:szCs w:val="16"/>
              </w:rPr>
              <w:t xml:space="preserve"> в том числе за сделки, заключенные во исполнение обязательств по поставке базисного актива по срочным контрактам</w:t>
            </w:r>
            <w:r w:rsidRPr="00B26583">
              <w:rPr>
                <w:sz w:val="16"/>
                <w:szCs w:val="16"/>
              </w:rPr>
              <w:t>. НДС не облагается в соответствии со Ст.149 НК РФ.</w:t>
            </w:r>
          </w:p>
        </w:tc>
      </w:tr>
      <w:tr w:rsidR="00A56EB0" w:rsidRPr="00B26583" w:rsidTr="000F203E">
        <w:trPr>
          <w:cantSplit/>
          <w:tblCellSpacing w:w="7" w:type="dxa"/>
        </w:trPr>
        <w:tc>
          <w:tcPr>
            <w:tcW w:w="9387" w:type="dxa"/>
            <w:vAlign w:val="center"/>
          </w:tcPr>
          <w:p w:rsidR="00A56EB0" w:rsidRPr="00B26583" w:rsidRDefault="00A56EB0" w:rsidP="00A56EB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 xml:space="preserve">Комиссия Брокера составляет </w:t>
            </w:r>
            <w:r w:rsidR="00EC7EBC">
              <w:rPr>
                <w:sz w:val="16"/>
                <w:szCs w:val="16"/>
              </w:rPr>
              <w:t>10 руб. за контракт</w:t>
            </w:r>
            <w:r w:rsidRPr="00B26583">
              <w:rPr>
                <w:sz w:val="16"/>
                <w:szCs w:val="16"/>
              </w:rPr>
              <w:t>*.</w:t>
            </w:r>
          </w:p>
        </w:tc>
      </w:tr>
      <w:tr w:rsidR="00A56EB0" w:rsidRPr="00B26583" w:rsidTr="000F203E">
        <w:trPr>
          <w:cantSplit/>
          <w:tblCellSpacing w:w="7" w:type="dxa"/>
        </w:trPr>
        <w:tc>
          <w:tcPr>
            <w:tcW w:w="9387" w:type="dxa"/>
            <w:vAlign w:val="center"/>
          </w:tcPr>
          <w:p w:rsidR="00A56EB0" w:rsidRPr="00B26583" w:rsidRDefault="00A56EB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 xml:space="preserve">Комиссия Брокера за принудительное закрытие Брокером позиций Клиента    </w:t>
            </w:r>
            <w:r w:rsidR="00DA6DC7">
              <w:rPr>
                <w:sz w:val="16"/>
                <w:szCs w:val="16"/>
              </w:rPr>
              <w:t>10</w:t>
            </w:r>
            <w:r w:rsidRPr="00B26583">
              <w:rPr>
                <w:sz w:val="16"/>
                <w:szCs w:val="16"/>
              </w:rPr>
              <w:t xml:space="preserve"> руб. за контракт.</w:t>
            </w:r>
          </w:p>
        </w:tc>
      </w:tr>
    </w:tbl>
    <w:p w:rsidR="00A56EB0" w:rsidRPr="00B26583" w:rsidRDefault="00A56EB0" w:rsidP="00A56EB0">
      <w:pPr>
        <w:rPr>
          <w:color w:val="000000"/>
          <w:sz w:val="16"/>
          <w:szCs w:val="16"/>
        </w:rPr>
      </w:pPr>
      <w:r w:rsidRPr="00B26583">
        <w:rPr>
          <w:sz w:val="16"/>
          <w:szCs w:val="16"/>
        </w:rPr>
        <w:t>* с текущими комиссиями биржи Вы можете ознакомиться по адресу:</w:t>
      </w:r>
      <w:r w:rsidRPr="00B26583">
        <w:rPr>
          <w:color w:val="000000"/>
          <w:sz w:val="16"/>
          <w:szCs w:val="16"/>
        </w:rPr>
        <w:t xml:space="preserve"> </w:t>
      </w:r>
      <w:r w:rsidR="00EE24F1" w:rsidRPr="00B26583">
        <w:rPr>
          <w:sz w:val="16"/>
          <w:szCs w:val="16"/>
        </w:rPr>
        <w:t>http://moex.com/</w:t>
      </w:r>
    </w:p>
    <w:p w:rsidR="005668D1" w:rsidRPr="00B26583" w:rsidRDefault="005668D1" w:rsidP="005668D1">
      <w:pPr>
        <w:rPr>
          <w:sz w:val="16"/>
          <w:szCs w:val="16"/>
        </w:rPr>
      </w:pPr>
    </w:p>
    <w:p w:rsidR="005668D1" w:rsidRPr="00B26583" w:rsidRDefault="00953F45" w:rsidP="000F203E">
      <w:pPr>
        <w:ind w:right="424"/>
        <w:jc w:val="both"/>
        <w:rPr>
          <w:b/>
          <w:bCs/>
          <w:sz w:val="18"/>
          <w:szCs w:val="18"/>
        </w:rPr>
      </w:pPr>
      <w:r w:rsidRPr="00B26583">
        <w:rPr>
          <w:b/>
          <w:bCs/>
          <w:sz w:val="18"/>
          <w:szCs w:val="18"/>
        </w:rPr>
        <w:t xml:space="preserve">Дополнительное вознаграждение Брокера за оказание сопутствующих услуг (в </w:t>
      </w:r>
      <w:proofErr w:type="spellStart"/>
      <w:r w:rsidRPr="00B26583">
        <w:rPr>
          <w:b/>
          <w:bCs/>
          <w:sz w:val="18"/>
          <w:szCs w:val="18"/>
        </w:rPr>
        <w:t>т.ч</w:t>
      </w:r>
      <w:proofErr w:type="spellEnd"/>
      <w:r w:rsidRPr="00B26583">
        <w:rPr>
          <w:b/>
          <w:bCs/>
          <w:sz w:val="18"/>
          <w:szCs w:val="18"/>
        </w:rPr>
        <w:t>. за предоставление условий, на которых Брокер принимает обязательства заключать договоры, являющиеся производными финансовыми инструментами, за счет клиентов Брокера).</w:t>
      </w:r>
    </w:p>
    <w:p w:rsidR="005668D1" w:rsidRPr="00B26583" w:rsidRDefault="005668D1" w:rsidP="005668D1">
      <w:pPr>
        <w:rPr>
          <w:bCs/>
          <w:sz w:val="16"/>
          <w:szCs w:val="16"/>
        </w:rPr>
      </w:pPr>
    </w:p>
    <w:tbl>
      <w:tblPr>
        <w:tblW w:w="4756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652"/>
        <w:gridCol w:w="3636"/>
      </w:tblGrid>
      <w:tr w:rsidR="005668D1" w:rsidRPr="00B26583" w:rsidTr="000F203E">
        <w:trPr>
          <w:tblCellSpacing w:w="7" w:type="dxa"/>
        </w:trPr>
        <w:tc>
          <w:tcPr>
            <w:tcW w:w="303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8D1" w:rsidRPr="00B26583" w:rsidRDefault="00953F45" w:rsidP="007B0440">
            <w:pPr>
              <w:rPr>
                <w:b/>
                <w:sz w:val="16"/>
                <w:szCs w:val="16"/>
              </w:rPr>
            </w:pPr>
            <w:r w:rsidRPr="00B26583">
              <w:rPr>
                <w:b/>
                <w:sz w:val="16"/>
                <w:szCs w:val="16"/>
              </w:rPr>
              <w:t>Наименование операции</w:t>
            </w:r>
          </w:p>
        </w:tc>
        <w:tc>
          <w:tcPr>
            <w:tcW w:w="1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668D1" w:rsidRPr="00B26583" w:rsidRDefault="00953F45" w:rsidP="007B0440">
            <w:pPr>
              <w:rPr>
                <w:b/>
                <w:sz w:val="16"/>
                <w:szCs w:val="16"/>
              </w:rPr>
            </w:pPr>
            <w:r w:rsidRPr="00B26583">
              <w:rPr>
                <w:b/>
                <w:sz w:val="16"/>
                <w:szCs w:val="16"/>
              </w:rPr>
              <w:t>Размер вознаграждения. НДС не облагается в соответствии со Ст.149 НК РФ.</w:t>
            </w:r>
          </w:p>
        </w:tc>
      </w:tr>
      <w:tr w:rsidR="005668D1" w:rsidRPr="00B26583" w:rsidTr="000F203E">
        <w:trPr>
          <w:tblCellSpacing w:w="7" w:type="dxa"/>
        </w:trPr>
        <w:tc>
          <w:tcPr>
            <w:tcW w:w="303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68D1" w:rsidRPr="00B26583" w:rsidRDefault="005668D1" w:rsidP="007B044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Поддержание Брокером срочной позиции Клиента в связи с  возникновением задолженности Клиента по гарантийному обеспечению на срочном рынке.</w:t>
            </w:r>
          </w:p>
        </w:tc>
        <w:tc>
          <w:tcPr>
            <w:tcW w:w="1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D4A61" w:rsidRPr="00B26583" w:rsidRDefault="00DA6DC7" w:rsidP="00CB52F6">
            <w:pPr>
              <w:rPr>
                <w:sz w:val="16"/>
                <w:szCs w:val="16"/>
              </w:rPr>
            </w:pPr>
            <w:r w:rsidRPr="00DA6DC7">
              <w:rPr>
                <w:b/>
                <w:sz w:val="16"/>
                <w:szCs w:val="16"/>
              </w:rPr>
              <w:t>Ключевая ставка +</w:t>
            </w:r>
            <w:r w:rsidR="00A835F1">
              <w:rPr>
                <w:b/>
                <w:sz w:val="16"/>
                <w:szCs w:val="16"/>
              </w:rPr>
              <w:t xml:space="preserve"> </w:t>
            </w:r>
            <w:r w:rsidRPr="00DA6DC7">
              <w:rPr>
                <w:b/>
                <w:sz w:val="16"/>
                <w:szCs w:val="16"/>
              </w:rPr>
              <w:t>7% годовых</w:t>
            </w:r>
            <w:r>
              <w:rPr>
                <w:sz w:val="16"/>
                <w:szCs w:val="16"/>
              </w:rPr>
              <w:t xml:space="preserve"> </w:t>
            </w:r>
            <w:r w:rsidR="005668D1" w:rsidRPr="00B26583">
              <w:rPr>
                <w:sz w:val="16"/>
                <w:szCs w:val="16"/>
              </w:rPr>
              <w:t>от суммы задолженности по итогам вечерней клиринговой сессии</w:t>
            </w:r>
            <w:r w:rsidR="000C3F00" w:rsidRPr="00B26583">
              <w:rPr>
                <w:sz w:val="16"/>
                <w:szCs w:val="16"/>
              </w:rPr>
              <w:t xml:space="preserve"> </w:t>
            </w:r>
          </w:p>
        </w:tc>
      </w:tr>
    </w:tbl>
    <w:p w:rsidR="00761519" w:rsidRPr="00B26583" w:rsidRDefault="00761519" w:rsidP="00A56EB0">
      <w:pPr>
        <w:jc w:val="both"/>
        <w:rPr>
          <w:sz w:val="16"/>
          <w:szCs w:val="16"/>
        </w:rPr>
      </w:pPr>
    </w:p>
    <w:p w:rsidR="00A56EB0" w:rsidRPr="00B26583" w:rsidRDefault="00A56EB0" w:rsidP="000F203E">
      <w:pPr>
        <w:ind w:right="424"/>
        <w:jc w:val="both"/>
        <w:rPr>
          <w:b/>
          <w:bCs/>
          <w:sz w:val="18"/>
          <w:szCs w:val="18"/>
        </w:rPr>
      </w:pPr>
      <w:r w:rsidRPr="00B26583">
        <w:rPr>
          <w:sz w:val="16"/>
          <w:szCs w:val="16"/>
        </w:rPr>
        <w:t xml:space="preserve">Клиент – физическое лицо может изменить тарифный план не чаще, чем один раз в календарный месяц путем направления Брокеру не позднее трех рабочих дней до окончания текущего месяца Заявления об изменении условий </w:t>
      </w:r>
      <w:r w:rsidR="00A6527D" w:rsidRPr="00B26583">
        <w:rPr>
          <w:sz w:val="16"/>
          <w:szCs w:val="16"/>
        </w:rPr>
        <w:t>обслуживания</w:t>
      </w:r>
      <w:r w:rsidRPr="00B26583">
        <w:rPr>
          <w:sz w:val="16"/>
          <w:szCs w:val="16"/>
        </w:rPr>
        <w:t xml:space="preserve"> (Приложение №</w:t>
      </w:r>
      <w:r w:rsidR="00A6527D" w:rsidRPr="00B26583">
        <w:rPr>
          <w:sz w:val="16"/>
          <w:szCs w:val="16"/>
        </w:rPr>
        <w:t>2</w:t>
      </w:r>
      <w:proofErr w:type="gramStart"/>
      <w:r w:rsidR="00A6527D" w:rsidRPr="00B26583">
        <w:rPr>
          <w:sz w:val="16"/>
          <w:szCs w:val="16"/>
        </w:rPr>
        <w:t xml:space="preserve">в  </w:t>
      </w:r>
      <w:r w:rsidRPr="00B26583">
        <w:rPr>
          <w:sz w:val="16"/>
          <w:szCs w:val="16"/>
        </w:rPr>
        <w:t>к</w:t>
      </w:r>
      <w:proofErr w:type="gramEnd"/>
      <w:r w:rsidRPr="00B26583">
        <w:rPr>
          <w:sz w:val="16"/>
          <w:szCs w:val="16"/>
        </w:rPr>
        <w:t xml:space="preserve"> Регламенту). Новый тариф вступает в действие с 01 числа месяца, следующего за месяцем, в котором Клиентом было направлено указанное Заявление об изменении условий </w:t>
      </w:r>
      <w:r w:rsidR="00A6527D" w:rsidRPr="00B26583">
        <w:rPr>
          <w:sz w:val="16"/>
          <w:szCs w:val="16"/>
        </w:rPr>
        <w:t>обслуживания</w:t>
      </w:r>
      <w:r w:rsidRPr="00B26583">
        <w:rPr>
          <w:sz w:val="16"/>
          <w:szCs w:val="16"/>
        </w:rPr>
        <w:t>.</w:t>
      </w:r>
    </w:p>
    <w:p w:rsidR="00A56EB0" w:rsidRPr="00B26583" w:rsidRDefault="00A56EB0" w:rsidP="00A56EB0">
      <w:pPr>
        <w:jc w:val="both"/>
        <w:rPr>
          <w:b/>
          <w:bCs/>
          <w:sz w:val="18"/>
          <w:szCs w:val="18"/>
        </w:rPr>
      </w:pPr>
    </w:p>
    <w:p w:rsidR="00A56EB0" w:rsidRPr="00B26583" w:rsidRDefault="00A56EB0" w:rsidP="0029256D">
      <w:pPr>
        <w:rPr>
          <w:b/>
          <w:bCs/>
          <w:sz w:val="18"/>
          <w:szCs w:val="18"/>
        </w:rPr>
      </w:pPr>
      <w:r w:rsidRPr="00B26583">
        <w:rPr>
          <w:b/>
          <w:bCs/>
          <w:sz w:val="18"/>
          <w:szCs w:val="18"/>
        </w:rPr>
        <w:t xml:space="preserve">Тарифы для юридических и физических лиц на внебиржевом рынке </w:t>
      </w:r>
    </w:p>
    <w:p w:rsidR="00EE3E7B" w:rsidRPr="00B26583" w:rsidRDefault="00EE3E7B" w:rsidP="0029256D">
      <w:pPr>
        <w:rPr>
          <w:b/>
          <w:bCs/>
          <w:sz w:val="18"/>
          <w:szCs w:val="18"/>
        </w:rPr>
      </w:pPr>
    </w:p>
    <w:tbl>
      <w:tblPr>
        <w:tblW w:w="4756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439"/>
        <w:gridCol w:w="6849"/>
      </w:tblGrid>
      <w:tr w:rsidR="00A56EB0" w:rsidRPr="00B26583" w:rsidTr="000F203E">
        <w:trPr>
          <w:tblCellSpacing w:w="7" w:type="dxa"/>
        </w:trPr>
        <w:tc>
          <w:tcPr>
            <w:tcW w:w="2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6EB0" w:rsidRPr="00B26583" w:rsidRDefault="00A56EB0" w:rsidP="00A56EB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Размер дневного оборота (руб.)</w:t>
            </w:r>
            <w:r w:rsidR="00923329" w:rsidRPr="00B26583">
              <w:rPr>
                <w:sz w:val="16"/>
                <w:szCs w:val="16"/>
                <w:vertAlign w:val="superscript"/>
              </w:rPr>
              <w:t xml:space="preserve"> 2</w:t>
            </w:r>
          </w:p>
        </w:tc>
        <w:tc>
          <w:tcPr>
            <w:tcW w:w="6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56EB0" w:rsidRPr="00B26583" w:rsidRDefault="00A56EB0" w:rsidP="00166F54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Тариф (вознагра</w:t>
            </w:r>
            <w:r w:rsidR="00166F54" w:rsidRPr="00B26583">
              <w:rPr>
                <w:sz w:val="16"/>
                <w:szCs w:val="16"/>
              </w:rPr>
              <w:t xml:space="preserve">ждение Брокера) в % от оборота </w:t>
            </w:r>
            <w:r w:rsidRPr="00B26583">
              <w:rPr>
                <w:sz w:val="16"/>
                <w:szCs w:val="16"/>
              </w:rPr>
              <w:t>за операции с ЦБ, НДС не облагается в соответствии со</w:t>
            </w:r>
            <w:r w:rsidR="00166F54" w:rsidRPr="00B26583">
              <w:rPr>
                <w:sz w:val="16"/>
                <w:szCs w:val="16"/>
              </w:rPr>
              <w:t xml:space="preserve"> </w:t>
            </w:r>
            <w:r w:rsidRPr="00B26583">
              <w:rPr>
                <w:sz w:val="16"/>
                <w:szCs w:val="16"/>
              </w:rPr>
              <w:t>Ст.149 НК РФ. Минимальный размер комиссии 2500 руб.</w:t>
            </w:r>
          </w:p>
        </w:tc>
      </w:tr>
      <w:tr w:rsidR="00A56EB0" w:rsidRPr="00B26583" w:rsidTr="000F203E">
        <w:trPr>
          <w:cantSplit/>
          <w:tblCellSpacing w:w="7" w:type="dxa"/>
        </w:trPr>
        <w:tc>
          <w:tcPr>
            <w:tcW w:w="2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6EB0" w:rsidRPr="00B26583" w:rsidRDefault="00A56EB0" w:rsidP="00A56EB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До 500 000</w:t>
            </w:r>
          </w:p>
        </w:tc>
        <w:tc>
          <w:tcPr>
            <w:tcW w:w="6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56EB0" w:rsidRPr="00B26583" w:rsidRDefault="00A56EB0">
            <w:pPr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0,</w:t>
            </w:r>
            <w:r w:rsidR="00D97A15" w:rsidRPr="00B26583">
              <w:rPr>
                <w:sz w:val="16"/>
                <w:szCs w:val="16"/>
              </w:rPr>
              <w:t>13</w:t>
            </w:r>
          </w:p>
        </w:tc>
      </w:tr>
      <w:tr w:rsidR="00A56EB0" w:rsidRPr="00B26583" w:rsidTr="000F203E">
        <w:trPr>
          <w:cantSplit/>
          <w:tblCellSpacing w:w="7" w:type="dxa"/>
        </w:trPr>
        <w:tc>
          <w:tcPr>
            <w:tcW w:w="2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6EB0" w:rsidRPr="00B26583" w:rsidRDefault="00A56EB0" w:rsidP="00A56EB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От 500 001 до 1 000 000</w:t>
            </w:r>
          </w:p>
        </w:tc>
        <w:tc>
          <w:tcPr>
            <w:tcW w:w="6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56EB0" w:rsidRPr="00B26583" w:rsidRDefault="00A56EB0">
            <w:pPr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0,</w:t>
            </w:r>
            <w:r w:rsidR="00D97A15" w:rsidRPr="00B26583">
              <w:rPr>
                <w:sz w:val="16"/>
                <w:szCs w:val="16"/>
              </w:rPr>
              <w:t>12</w:t>
            </w:r>
          </w:p>
        </w:tc>
      </w:tr>
      <w:tr w:rsidR="00A56EB0" w:rsidRPr="00B26583" w:rsidTr="000F203E">
        <w:trPr>
          <w:cantSplit/>
          <w:tblCellSpacing w:w="7" w:type="dxa"/>
        </w:trPr>
        <w:tc>
          <w:tcPr>
            <w:tcW w:w="2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6EB0" w:rsidRPr="00B26583" w:rsidRDefault="00A56EB0" w:rsidP="00A56EB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От 1 000 001 до 15 000 000</w:t>
            </w:r>
          </w:p>
        </w:tc>
        <w:tc>
          <w:tcPr>
            <w:tcW w:w="6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56EB0" w:rsidRPr="00B26583" w:rsidRDefault="00A56EB0">
            <w:pPr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0,</w:t>
            </w:r>
            <w:r w:rsidR="00D97A15" w:rsidRPr="00B26583">
              <w:rPr>
                <w:sz w:val="16"/>
                <w:szCs w:val="16"/>
              </w:rPr>
              <w:t>1</w:t>
            </w:r>
          </w:p>
        </w:tc>
      </w:tr>
      <w:tr w:rsidR="00A56EB0" w:rsidRPr="00B26583" w:rsidTr="000F203E">
        <w:trPr>
          <w:cantSplit/>
          <w:tblCellSpacing w:w="7" w:type="dxa"/>
        </w:trPr>
        <w:tc>
          <w:tcPr>
            <w:tcW w:w="24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6EB0" w:rsidRPr="00B26583" w:rsidRDefault="00A56EB0" w:rsidP="00A56EB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От 15 000 001 и выше</w:t>
            </w:r>
          </w:p>
        </w:tc>
        <w:tc>
          <w:tcPr>
            <w:tcW w:w="6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56EB0" w:rsidRPr="00B26583" w:rsidRDefault="00A56EB0">
            <w:pPr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0,</w:t>
            </w:r>
            <w:r w:rsidR="00D97A15" w:rsidRPr="00B26583">
              <w:rPr>
                <w:sz w:val="16"/>
                <w:szCs w:val="16"/>
              </w:rPr>
              <w:t>08</w:t>
            </w:r>
          </w:p>
        </w:tc>
      </w:tr>
    </w:tbl>
    <w:p w:rsidR="00A56EB0" w:rsidRPr="00B26583" w:rsidRDefault="00A56EB0" w:rsidP="00A56EB0">
      <w:pPr>
        <w:rPr>
          <w:b/>
          <w:bCs/>
          <w:sz w:val="16"/>
          <w:szCs w:val="16"/>
        </w:rPr>
      </w:pPr>
    </w:p>
    <w:p w:rsidR="00A835F1" w:rsidRDefault="00A835F1" w:rsidP="00264DD1">
      <w:pPr>
        <w:rPr>
          <w:b/>
          <w:bCs/>
          <w:sz w:val="18"/>
          <w:szCs w:val="18"/>
        </w:rPr>
      </w:pPr>
    </w:p>
    <w:p w:rsidR="00A835F1" w:rsidRDefault="00A835F1" w:rsidP="00264DD1">
      <w:pPr>
        <w:rPr>
          <w:b/>
          <w:bCs/>
          <w:sz w:val="18"/>
          <w:szCs w:val="18"/>
        </w:rPr>
      </w:pPr>
    </w:p>
    <w:p w:rsidR="00A835F1" w:rsidRDefault="00A835F1" w:rsidP="00264DD1">
      <w:pPr>
        <w:rPr>
          <w:b/>
          <w:bCs/>
          <w:sz w:val="18"/>
          <w:szCs w:val="18"/>
        </w:rPr>
      </w:pPr>
    </w:p>
    <w:p w:rsidR="00A835F1" w:rsidRDefault="00A835F1" w:rsidP="00264DD1">
      <w:pPr>
        <w:rPr>
          <w:b/>
          <w:bCs/>
          <w:sz w:val="18"/>
          <w:szCs w:val="18"/>
        </w:rPr>
      </w:pPr>
    </w:p>
    <w:p w:rsidR="00A835F1" w:rsidRDefault="00A835F1" w:rsidP="00264DD1">
      <w:pPr>
        <w:rPr>
          <w:b/>
          <w:bCs/>
          <w:sz w:val="18"/>
          <w:szCs w:val="18"/>
        </w:rPr>
      </w:pPr>
    </w:p>
    <w:p w:rsidR="00A835F1" w:rsidRDefault="00A835F1" w:rsidP="00264DD1">
      <w:pPr>
        <w:rPr>
          <w:b/>
          <w:bCs/>
          <w:sz w:val="18"/>
          <w:szCs w:val="18"/>
        </w:rPr>
      </w:pPr>
    </w:p>
    <w:p w:rsidR="00A835F1" w:rsidRDefault="00A835F1" w:rsidP="00264DD1">
      <w:pPr>
        <w:rPr>
          <w:b/>
          <w:bCs/>
          <w:sz w:val="18"/>
          <w:szCs w:val="18"/>
        </w:rPr>
      </w:pPr>
    </w:p>
    <w:p w:rsidR="00A835F1" w:rsidRDefault="00A835F1" w:rsidP="00264DD1">
      <w:pPr>
        <w:rPr>
          <w:b/>
          <w:bCs/>
          <w:sz w:val="18"/>
          <w:szCs w:val="18"/>
        </w:rPr>
      </w:pPr>
    </w:p>
    <w:p w:rsidR="00A835F1" w:rsidRDefault="00A835F1" w:rsidP="00264DD1">
      <w:pPr>
        <w:rPr>
          <w:b/>
          <w:bCs/>
          <w:sz w:val="18"/>
          <w:szCs w:val="18"/>
        </w:rPr>
      </w:pPr>
    </w:p>
    <w:p w:rsidR="00A835F1" w:rsidRDefault="00A835F1" w:rsidP="00264DD1">
      <w:pPr>
        <w:rPr>
          <w:b/>
          <w:bCs/>
          <w:sz w:val="18"/>
          <w:szCs w:val="18"/>
        </w:rPr>
      </w:pPr>
    </w:p>
    <w:p w:rsidR="00A835F1" w:rsidRDefault="00A835F1" w:rsidP="00264DD1">
      <w:pPr>
        <w:rPr>
          <w:b/>
          <w:bCs/>
          <w:sz w:val="18"/>
          <w:szCs w:val="18"/>
        </w:rPr>
      </w:pPr>
    </w:p>
    <w:p w:rsidR="00A835F1" w:rsidRDefault="00A835F1" w:rsidP="00264DD1">
      <w:pPr>
        <w:rPr>
          <w:b/>
          <w:bCs/>
          <w:sz w:val="18"/>
          <w:szCs w:val="18"/>
        </w:rPr>
      </w:pPr>
    </w:p>
    <w:p w:rsidR="00A835F1" w:rsidRDefault="00A835F1" w:rsidP="00264DD1">
      <w:pPr>
        <w:rPr>
          <w:b/>
          <w:bCs/>
          <w:sz w:val="18"/>
          <w:szCs w:val="18"/>
        </w:rPr>
      </w:pPr>
    </w:p>
    <w:p w:rsidR="00264DD1" w:rsidRPr="00B26583" w:rsidRDefault="00264DD1" w:rsidP="00264DD1">
      <w:pPr>
        <w:rPr>
          <w:b/>
          <w:bCs/>
          <w:sz w:val="18"/>
          <w:szCs w:val="18"/>
        </w:rPr>
      </w:pPr>
      <w:r w:rsidRPr="00B26583">
        <w:rPr>
          <w:b/>
          <w:bCs/>
          <w:sz w:val="18"/>
          <w:szCs w:val="18"/>
        </w:rPr>
        <w:t>Тарифы для юридических и физических лиц на валютном рынке</w:t>
      </w:r>
      <w:r w:rsidR="00D86669" w:rsidRPr="00B26583">
        <w:rPr>
          <w:sz w:val="18"/>
          <w:szCs w:val="18"/>
          <w:vertAlign w:val="superscript"/>
        </w:rPr>
        <w:t>2</w:t>
      </w:r>
      <w:r w:rsidRPr="00B26583">
        <w:rPr>
          <w:b/>
          <w:bCs/>
          <w:sz w:val="18"/>
          <w:szCs w:val="18"/>
        </w:rPr>
        <w:t>:</w:t>
      </w:r>
    </w:p>
    <w:p w:rsidR="00264DD1" w:rsidRPr="00B26583" w:rsidRDefault="00264DD1" w:rsidP="00264DD1">
      <w:pPr>
        <w:rPr>
          <w:b/>
          <w:bCs/>
          <w:sz w:val="18"/>
          <w:szCs w:val="18"/>
        </w:rPr>
      </w:pPr>
    </w:p>
    <w:p w:rsidR="00264DD1" w:rsidRPr="00B26583" w:rsidRDefault="00953F45" w:rsidP="00264DD1">
      <w:pPr>
        <w:jc w:val="both"/>
        <w:rPr>
          <w:b/>
          <w:sz w:val="16"/>
          <w:szCs w:val="16"/>
        </w:rPr>
      </w:pPr>
      <w:r w:rsidRPr="00B26583">
        <w:rPr>
          <w:b/>
          <w:sz w:val="16"/>
          <w:szCs w:val="16"/>
        </w:rPr>
        <w:t>Сделки, совершенные на Валютном рынке ПАО Московская Биржа.</w:t>
      </w:r>
    </w:p>
    <w:p w:rsidR="00264DD1" w:rsidRPr="00B26583" w:rsidRDefault="00264DD1" w:rsidP="000F203E">
      <w:pPr>
        <w:ind w:right="141"/>
        <w:jc w:val="both"/>
        <w:rPr>
          <w:sz w:val="16"/>
          <w:szCs w:val="16"/>
        </w:rPr>
      </w:pPr>
      <w:r w:rsidRPr="00B26583">
        <w:rPr>
          <w:sz w:val="16"/>
          <w:szCs w:val="16"/>
        </w:rPr>
        <w:t>Тарифный план устанавливается по Клиентскому счету. При наличии у Клиента нескольких Клиентских счетов Тарифные планы, применяемые к каждому конкретному Клиентскому счету, могут разл</w:t>
      </w:r>
      <w:r w:rsidR="008038A5" w:rsidRPr="00B26583">
        <w:rPr>
          <w:sz w:val="16"/>
          <w:szCs w:val="16"/>
        </w:rPr>
        <w:t>и</w:t>
      </w:r>
      <w:r w:rsidRPr="00B26583">
        <w:rPr>
          <w:sz w:val="16"/>
          <w:szCs w:val="16"/>
        </w:rPr>
        <w:t>чаться.</w:t>
      </w:r>
    </w:p>
    <w:tbl>
      <w:tblPr>
        <w:tblW w:w="9218" w:type="dxa"/>
        <w:tblCellSpacing w:w="20" w:type="dxa"/>
        <w:tblInd w:w="-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2132"/>
        <w:gridCol w:w="271"/>
        <w:gridCol w:w="1838"/>
        <w:gridCol w:w="1571"/>
        <w:gridCol w:w="1989"/>
        <w:gridCol w:w="1417"/>
      </w:tblGrid>
      <w:tr w:rsidR="00264DD1" w:rsidRPr="00B26583" w:rsidTr="007349AB">
        <w:trPr>
          <w:tblCellSpacing w:w="20" w:type="dxa"/>
        </w:trPr>
        <w:tc>
          <w:tcPr>
            <w:tcW w:w="2343" w:type="dxa"/>
            <w:gridSpan w:val="2"/>
            <w:shd w:val="clear" w:color="auto" w:fill="auto"/>
            <w:vAlign w:val="center"/>
          </w:tcPr>
          <w:p w:rsidR="00264DD1" w:rsidRPr="00B26583" w:rsidRDefault="00264DD1" w:rsidP="0094643A">
            <w:pPr>
              <w:ind w:left="17"/>
              <w:jc w:val="center"/>
              <w:rPr>
                <w:b/>
                <w:sz w:val="16"/>
                <w:szCs w:val="16"/>
              </w:rPr>
            </w:pPr>
            <w:r w:rsidRPr="00B26583">
              <w:rPr>
                <w:b/>
                <w:sz w:val="16"/>
                <w:szCs w:val="16"/>
              </w:rPr>
              <w:t>Название тарифного плана</w:t>
            </w:r>
          </w:p>
        </w:tc>
        <w:tc>
          <w:tcPr>
            <w:tcW w:w="3369" w:type="dxa"/>
            <w:gridSpan w:val="2"/>
            <w:shd w:val="clear" w:color="auto" w:fill="auto"/>
            <w:vAlign w:val="center"/>
          </w:tcPr>
          <w:p w:rsidR="00264DD1" w:rsidRPr="00B26583" w:rsidRDefault="00264DD1" w:rsidP="00F71565">
            <w:pPr>
              <w:jc w:val="center"/>
              <w:rPr>
                <w:b/>
                <w:sz w:val="16"/>
                <w:szCs w:val="16"/>
              </w:rPr>
            </w:pPr>
            <w:r w:rsidRPr="00B26583">
              <w:rPr>
                <w:b/>
                <w:sz w:val="16"/>
                <w:szCs w:val="16"/>
              </w:rPr>
              <w:t>База для расчета тарифа</w:t>
            </w:r>
          </w:p>
        </w:tc>
        <w:tc>
          <w:tcPr>
            <w:tcW w:w="3346" w:type="dxa"/>
            <w:gridSpan w:val="2"/>
            <w:shd w:val="clear" w:color="auto" w:fill="auto"/>
            <w:vAlign w:val="center"/>
          </w:tcPr>
          <w:p w:rsidR="00264DD1" w:rsidRPr="00B26583" w:rsidRDefault="00087C31" w:rsidP="00F71565">
            <w:pPr>
              <w:jc w:val="center"/>
              <w:rPr>
                <w:b/>
                <w:sz w:val="16"/>
                <w:szCs w:val="16"/>
              </w:rPr>
            </w:pPr>
            <w:r w:rsidRPr="00B26583">
              <w:rPr>
                <w:b/>
                <w:sz w:val="16"/>
                <w:szCs w:val="16"/>
              </w:rPr>
              <w:t>Тариф (в</w:t>
            </w:r>
            <w:r w:rsidR="00264DD1" w:rsidRPr="00B26583">
              <w:rPr>
                <w:b/>
                <w:sz w:val="16"/>
                <w:szCs w:val="16"/>
              </w:rPr>
              <w:t xml:space="preserve">ознаграждение </w:t>
            </w:r>
            <w:r w:rsidRPr="00B26583">
              <w:rPr>
                <w:b/>
                <w:sz w:val="16"/>
                <w:szCs w:val="16"/>
              </w:rPr>
              <w:t>Брокера)</w:t>
            </w:r>
          </w:p>
          <w:p w:rsidR="00264DD1" w:rsidRPr="00B26583" w:rsidRDefault="00264DD1" w:rsidP="00F7156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64DD1" w:rsidRPr="00B26583" w:rsidTr="007349AB">
        <w:trPr>
          <w:tblCellSpacing w:w="20" w:type="dxa"/>
        </w:trPr>
        <w:tc>
          <w:tcPr>
            <w:tcW w:w="2343" w:type="dxa"/>
            <w:gridSpan w:val="2"/>
            <w:shd w:val="clear" w:color="auto" w:fill="auto"/>
            <w:vAlign w:val="center"/>
          </w:tcPr>
          <w:p w:rsidR="00264DD1" w:rsidRPr="00B26583" w:rsidRDefault="00264DD1" w:rsidP="0094643A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«Спекулятивный»</w:t>
            </w:r>
          </w:p>
        </w:tc>
        <w:tc>
          <w:tcPr>
            <w:tcW w:w="3369" w:type="dxa"/>
            <w:gridSpan w:val="2"/>
            <w:shd w:val="clear" w:color="auto" w:fill="auto"/>
            <w:vAlign w:val="center"/>
          </w:tcPr>
          <w:p w:rsidR="008A4B96" w:rsidRPr="00B26583" w:rsidRDefault="00264DD1">
            <w:pPr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-</w:t>
            </w:r>
          </w:p>
        </w:tc>
        <w:tc>
          <w:tcPr>
            <w:tcW w:w="3346" w:type="dxa"/>
            <w:gridSpan w:val="2"/>
            <w:shd w:val="clear" w:color="auto" w:fill="auto"/>
            <w:vAlign w:val="center"/>
          </w:tcPr>
          <w:p w:rsidR="00264DD1" w:rsidRPr="00B26583" w:rsidRDefault="00264DD1">
            <w:pPr>
              <w:tabs>
                <w:tab w:val="left" w:pos="3636"/>
              </w:tabs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0,</w:t>
            </w:r>
            <w:r w:rsidR="000621F5">
              <w:rPr>
                <w:sz w:val="16"/>
                <w:szCs w:val="16"/>
              </w:rPr>
              <w:t>1</w:t>
            </w:r>
            <w:r w:rsidRPr="00B26583">
              <w:rPr>
                <w:sz w:val="16"/>
                <w:szCs w:val="16"/>
              </w:rPr>
              <w:t>%</w:t>
            </w:r>
            <w:r w:rsidR="0094643A" w:rsidRPr="00B26583">
              <w:rPr>
                <w:sz w:val="16"/>
                <w:szCs w:val="16"/>
              </w:rPr>
              <w:t xml:space="preserve"> </w:t>
            </w:r>
            <w:r w:rsidRPr="00B26583">
              <w:rPr>
                <w:sz w:val="16"/>
                <w:szCs w:val="16"/>
              </w:rPr>
              <w:t>(от суммы сделки)</w:t>
            </w:r>
          </w:p>
        </w:tc>
      </w:tr>
      <w:tr w:rsidR="00264DD1" w:rsidRPr="00B26583" w:rsidTr="007349AB">
        <w:trPr>
          <w:tblCellSpacing w:w="20" w:type="dxa"/>
        </w:trPr>
        <w:tc>
          <w:tcPr>
            <w:tcW w:w="2343" w:type="dxa"/>
            <w:gridSpan w:val="2"/>
            <w:vMerge w:val="restart"/>
            <w:shd w:val="clear" w:color="auto" w:fill="auto"/>
            <w:vAlign w:val="center"/>
          </w:tcPr>
          <w:p w:rsidR="00264DD1" w:rsidRPr="00B26583" w:rsidRDefault="00264DD1" w:rsidP="0079331E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«</w:t>
            </w:r>
            <w:r w:rsidR="00AD5782" w:rsidRPr="00B26583">
              <w:rPr>
                <w:sz w:val="16"/>
                <w:szCs w:val="16"/>
              </w:rPr>
              <w:t>П</w:t>
            </w:r>
            <w:r w:rsidRPr="00B26583">
              <w:rPr>
                <w:sz w:val="16"/>
                <w:szCs w:val="16"/>
              </w:rPr>
              <w:t>ропорциональный»</w:t>
            </w:r>
          </w:p>
          <w:p w:rsidR="00246552" w:rsidRPr="00B26583" w:rsidRDefault="00264DD1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br/>
            </w:r>
            <w:r w:rsidRPr="00B26583">
              <w:rPr>
                <w:sz w:val="16"/>
                <w:szCs w:val="16"/>
              </w:rPr>
              <w:br/>
            </w:r>
          </w:p>
        </w:tc>
        <w:tc>
          <w:tcPr>
            <w:tcW w:w="3369" w:type="dxa"/>
            <w:gridSpan w:val="2"/>
            <w:shd w:val="pct5" w:color="auto" w:fill="auto"/>
            <w:vAlign w:val="center"/>
          </w:tcPr>
          <w:p w:rsidR="00264DD1" w:rsidRPr="00B26583" w:rsidRDefault="00264DD1" w:rsidP="004E4335">
            <w:pPr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Дневной оборот, руб.</w:t>
            </w:r>
            <w:r w:rsidR="00923329" w:rsidRPr="00B26583">
              <w:rPr>
                <w:sz w:val="16"/>
                <w:szCs w:val="16"/>
                <w:vertAlign w:val="superscript"/>
              </w:rPr>
              <w:t xml:space="preserve"> 2</w:t>
            </w:r>
          </w:p>
        </w:tc>
        <w:tc>
          <w:tcPr>
            <w:tcW w:w="3346" w:type="dxa"/>
            <w:gridSpan w:val="2"/>
            <w:shd w:val="pct5" w:color="auto" w:fill="auto"/>
            <w:vAlign w:val="center"/>
          </w:tcPr>
          <w:p w:rsidR="00264DD1" w:rsidRPr="00B26583" w:rsidRDefault="00264DD1" w:rsidP="0079331E">
            <w:pPr>
              <w:rPr>
                <w:sz w:val="16"/>
                <w:szCs w:val="16"/>
              </w:rPr>
            </w:pPr>
          </w:p>
        </w:tc>
      </w:tr>
      <w:tr w:rsidR="00264DD1" w:rsidRPr="00B26583" w:rsidTr="007349AB">
        <w:trPr>
          <w:tblCellSpacing w:w="20" w:type="dxa"/>
        </w:trPr>
        <w:tc>
          <w:tcPr>
            <w:tcW w:w="2343" w:type="dxa"/>
            <w:gridSpan w:val="2"/>
            <w:vMerge/>
            <w:shd w:val="clear" w:color="auto" w:fill="auto"/>
            <w:vAlign w:val="center"/>
          </w:tcPr>
          <w:p w:rsidR="00264DD1" w:rsidRPr="00B26583" w:rsidRDefault="00264DD1" w:rsidP="0079331E">
            <w:pPr>
              <w:rPr>
                <w:sz w:val="16"/>
                <w:szCs w:val="16"/>
              </w:rPr>
            </w:pPr>
          </w:p>
        </w:tc>
        <w:tc>
          <w:tcPr>
            <w:tcW w:w="3369" w:type="dxa"/>
            <w:gridSpan w:val="2"/>
            <w:shd w:val="clear" w:color="auto" w:fill="auto"/>
            <w:vAlign w:val="center"/>
          </w:tcPr>
          <w:p w:rsidR="00264DD1" w:rsidRPr="00B26583" w:rsidRDefault="00264DD1" w:rsidP="004E4335">
            <w:pPr>
              <w:tabs>
                <w:tab w:val="left" w:pos="3636"/>
              </w:tabs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До 1</w:t>
            </w:r>
            <w:r w:rsidR="00DF037E" w:rsidRPr="00B26583">
              <w:rPr>
                <w:sz w:val="16"/>
                <w:szCs w:val="16"/>
              </w:rPr>
              <w:t>0</w:t>
            </w:r>
            <w:r w:rsidRPr="00B26583">
              <w:rPr>
                <w:sz w:val="16"/>
                <w:szCs w:val="16"/>
              </w:rPr>
              <w:t> 000 000,00</w:t>
            </w:r>
          </w:p>
        </w:tc>
        <w:tc>
          <w:tcPr>
            <w:tcW w:w="3346" w:type="dxa"/>
            <w:gridSpan w:val="2"/>
            <w:shd w:val="clear" w:color="auto" w:fill="auto"/>
            <w:vAlign w:val="center"/>
          </w:tcPr>
          <w:p w:rsidR="00264DD1" w:rsidRPr="00B26583" w:rsidRDefault="00264DD1">
            <w:pPr>
              <w:tabs>
                <w:tab w:val="left" w:pos="3636"/>
              </w:tabs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0,</w:t>
            </w:r>
            <w:r w:rsidR="000621F5">
              <w:rPr>
                <w:sz w:val="16"/>
                <w:szCs w:val="16"/>
              </w:rPr>
              <w:t>1</w:t>
            </w:r>
            <w:r w:rsidRPr="00B26583">
              <w:rPr>
                <w:sz w:val="16"/>
                <w:szCs w:val="16"/>
              </w:rPr>
              <w:t>%</w:t>
            </w:r>
            <w:r w:rsidR="0069070A" w:rsidRPr="00B26583">
              <w:rPr>
                <w:sz w:val="16"/>
                <w:szCs w:val="16"/>
              </w:rPr>
              <w:t xml:space="preserve">  (от дневного оборота)</w:t>
            </w:r>
          </w:p>
        </w:tc>
      </w:tr>
      <w:tr w:rsidR="00264DD1" w:rsidRPr="00B26583" w:rsidTr="007349AB">
        <w:trPr>
          <w:tblCellSpacing w:w="20" w:type="dxa"/>
        </w:trPr>
        <w:tc>
          <w:tcPr>
            <w:tcW w:w="2343" w:type="dxa"/>
            <w:gridSpan w:val="2"/>
            <w:vMerge/>
            <w:shd w:val="clear" w:color="auto" w:fill="auto"/>
            <w:vAlign w:val="center"/>
          </w:tcPr>
          <w:p w:rsidR="00264DD1" w:rsidRPr="00B26583" w:rsidRDefault="00264DD1" w:rsidP="0079331E">
            <w:pPr>
              <w:rPr>
                <w:sz w:val="16"/>
                <w:szCs w:val="16"/>
              </w:rPr>
            </w:pPr>
          </w:p>
        </w:tc>
        <w:tc>
          <w:tcPr>
            <w:tcW w:w="3369" w:type="dxa"/>
            <w:gridSpan w:val="2"/>
            <w:shd w:val="clear" w:color="auto" w:fill="auto"/>
            <w:vAlign w:val="center"/>
          </w:tcPr>
          <w:p w:rsidR="00264DD1" w:rsidRPr="00B26583" w:rsidRDefault="00264DD1" w:rsidP="004E4335">
            <w:pPr>
              <w:tabs>
                <w:tab w:val="left" w:pos="3636"/>
              </w:tabs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От 1</w:t>
            </w:r>
            <w:r w:rsidR="00DF037E" w:rsidRPr="00B26583">
              <w:rPr>
                <w:sz w:val="16"/>
                <w:szCs w:val="16"/>
              </w:rPr>
              <w:t>0</w:t>
            </w:r>
            <w:r w:rsidRPr="00B26583">
              <w:rPr>
                <w:sz w:val="16"/>
                <w:szCs w:val="16"/>
              </w:rPr>
              <w:t> 000 000,01 до 3</w:t>
            </w:r>
            <w:r w:rsidR="00DF037E" w:rsidRPr="00B26583">
              <w:rPr>
                <w:sz w:val="16"/>
                <w:szCs w:val="16"/>
              </w:rPr>
              <w:t>0</w:t>
            </w:r>
            <w:r w:rsidRPr="00B26583">
              <w:rPr>
                <w:sz w:val="16"/>
                <w:szCs w:val="16"/>
              </w:rPr>
              <w:t xml:space="preserve"> 000 000,00</w:t>
            </w:r>
          </w:p>
        </w:tc>
        <w:tc>
          <w:tcPr>
            <w:tcW w:w="3346" w:type="dxa"/>
            <w:gridSpan w:val="2"/>
            <w:shd w:val="clear" w:color="auto" w:fill="auto"/>
            <w:vAlign w:val="center"/>
          </w:tcPr>
          <w:p w:rsidR="004C48EE" w:rsidRPr="00B26583" w:rsidRDefault="00264DD1">
            <w:pPr>
              <w:tabs>
                <w:tab w:val="left" w:pos="3636"/>
              </w:tabs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0,</w:t>
            </w:r>
            <w:r w:rsidR="000621F5" w:rsidRPr="00B26583">
              <w:rPr>
                <w:sz w:val="16"/>
                <w:szCs w:val="16"/>
              </w:rPr>
              <w:t>0</w:t>
            </w:r>
            <w:r w:rsidR="000621F5">
              <w:rPr>
                <w:sz w:val="16"/>
                <w:szCs w:val="16"/>
              </w:rPr>
              <w:t>7</w:t>
            </w:r>
            <w:r w:rsidRPr="00B26583">
              <w:rPr>
                <w:sz w:val="16"/>
                <w:szCs w:val="16"/>
              </w:rPr>
              <w:t>%</w:t>
            </w:r>
            <w:r w:rsidR="0069070A" w:rsidRPr="00B26583">
              <w:rPr>
                <w:sz w:val="16"/>
                <w:szCs w:val="16"/>
              </w:rPr>
              <w:t xml:space="preserve"> (от дневного оборота)</w:t>
            </w:r>
          </w:p>
        </w:tc>
      </w:tr>
      <w:tr w:rsidR="00264DD1" w:rsidRPr="00B26583" w:rsidTr="007349AB">
        <w:trPr>
          <w:tblCellSpacing w:w="20" w:type="dxa"/>
        </w:trPr>
        <w:tc>
          <w:tcPr>
            <w:tcW w:w="2343" w:type="dxa"/>
            <w:gridSpan w:val="2"/>
            <w:vMerge/>
            <w:shd w:val="clear" w:color="auto" w:fill="auto"/>
            <w:vAlign w:val="center"/>
          </w:tcPr>
          <w:p w:rsidR="00264DD1" w:rsidRPr="00B26583" w:rsidRDefault="00264DD1" w:rsidP="0079331E">
            <w:pPr>
              <w:rPr>
                <w:sz w:val="16"/>
                <w:szCs w:val="16"/>
              </w:rPr>
            </w:pPr>
          </w:p>
        </w:tc>
        <w:tc>
          <w:tcPr>
            <w:tcW w:w="3369" w:type="dxa"/>
            <w:gridSpan w:val="2"/>
            <w:shd w:val="clear" w:color="auto" w:fill="auto"/>
            <w:vAlign w:val="center"/>
          </w:tcPr>
          <w:p w:rsidR="00264DD1" w:rsidRPr="00B26583" w:rsidRDefault="00264DD1" w:rsidP="00DF037E">
            <w:pPr>
              <w:tabs>
                <w:tab w:val="left" w:pos="3636"/>
              </w:tabs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От 3</w:t>
            </w:r>
            <w:r w:rsidR="00DF037E" w:rsidRPr="00B26583">
              <w:rPr>
                <w:sz w:val="16"/>
                <w:szCs w:val="16"/>
              </w:rPr>
              <w:t>0</w:t>
            </w:r>
            <w:r w:rsidRPr="00B26583">
              <w:rPr>
                <w:sz w:val="16"/>
                <w:szCs w:val="16"/>
              </w:rPr>
              <w:t xml:space="preserve"> 000 000,01 </w:t>
            </w:r>
          </w:p>
        </w:tc>
        <w:tc>
          <w:tcPr>
            <w:tcW w:w="3346" w:type="dxa"/>
            <w:gridSpan w:val="2"/>
            <w:shd w:val="clear" w:color="auto" w:fill="auto"/>
            <w:vAlign w:val="center"/>
          </w:tcPr>
          <w:p w:rsidR="004C48EE" w:rsidRPr="00B26583" w:rsidRDefault="00264DD1">
            <w:pPr>
              <w:tabs>
                <w:tab w:val="left" w:pos="3636"/>
              </w:tabs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0,</w:t>
            </w:r>
            <w:r w:rsidR="000621F5" w:rsidRPr="00B26583">
              <w:rPr>
                <w:sz w:val="16"/>
                <w:szCs w:val="16"/>
              </w:rPr>
              <w:t>0</w:t>
            </w:r>
            <w:r w:rsidR="000621F5">
              <w:rPr>
                <w:sz w:val="16"/>
                <w:szCs w:val="16"/>
              </w:rPr>
              <w:t>5</w:t>
            </w:r>
            <w:r w:rsidRPr="00B26583">
              <w:rPr>
                <w:sz w:val="16"/>
                <w:szCs w:val="16"/>
              </w:rPr>
              <w:t>%</w:t>
            </w:r>
            <w:r w:rsidR="0069070A" w:rsidRPr="00B26583">
              <w:rPr>
                <w:sz w:val="16"/>
                <w:szCs w:val="16"/>
              </w:rPr>
              <w:t xml:space="preserve"> (от дневного оборота)</w:t>
            </w:r>
          </w:p>
        </w:tc>
      </w:tr>
      <w:tr w:rsidR="00264DD1" w:rsidRPr="00B26583" w:rsidTr="007349AB">
        <w:trPr>
          <w:tblCellSpacing w:w="20" w:type="dxa"/>
        </w:trPr>
        <w:tc>
          <w:tcPr>
            <w:tcW w:w="5752" w:type="dxa"/>
            <w:gridSpan w:val="4"/>
            <w:shd w:val="clear" w:color="auto" w:fill="auto"/>
            <w:vAlign w:val="center"/>
          </w:tcPr>
          <w:p w:rsidR="002273F5" w:rsidRPr="00B26583" w:rsidRDefault="00E5215E">
            <w:pPr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 xml:space="preserve">Совершение сделок СВОП по переносу Чистой  открытой </w:t>
            </w:r>
            <w:r w:rsidR="00264DD1" w:rsidRPr="00B26583">
              <w:rPr>
                <w:sz w:val="16"/>
                <w:szCs w:val="16"/>
              </w:rPr>
              <w:t xml:space="preserve"> позиции</w:t>
            </w:r>
          </w:p>
        </w:tc>
        <w:tc>
          <w:tcPr>
            <w:tcW w:w="3346" w:type="dxa"/>
            <w:gridSpan w:val="2"/>
            <w:shd w:val="clear" w:color="auto" w:fill="auto"/>
            <w:vAlign w:val="center"/>
          </w:tcPr>
          <w:p w:rsidR="00264DD1" w:rsidRPr="00B26583" w:rsidRDefault="000621F5" w:rsidP="00DC075B">
            <w:pPr>
              <w:jc w:val="center"/>
              <w:rPr>
                <w:sz w:val="16"/>
                <w:szCs w:val="16"/>
              </w:rPr>
            </w:pPr>
            <w:r w:rsidRPr="00A835F1">
              <w:rPr>
                <w:b/>
                <w:sz w:val="16"/>
                <w:szCs w:val="16"/>
              </w:rPr>
              <w:t>КС +7 %</w:t>
            </w:r>
            <w:r w:rsidRPr="000621F5">
              <w:rPr>
                <w:sz w:val="16"/>
                <w:szCs w:val="16"/>
              </w:rPr>
              <w:t xml:space="preserve"> годовых</w:t>
            </w:r>
          </w:p>
          <w:p w:rsidR="00264DD1" w:rsidRPr="00B26583" w:rsidRDefault="00264DD1" w:rsidP="00DC075B">
            <w:pPr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от величины первой части сделки СВОП</w:t>
            </w:r>
          </w:p>
        </w:tc>
      </w:tr>
      <w:tr w:rsidR="00264DD1" w:rsidRPr="00B26583" w:rsidTr="007349AB">
        <w:trPr>
          <w:tblCellSpacing w:w="20" w:type="dxa"/>
        </w:trPr>
        <w:tc>
          <w:tcPr>
            <w:tcW w:w="5752" w:type="dxa"/>
            <w:gridSpan w:val="4"/>
            <w:shd w:val="clear" w:color="auto" w:fill="auto"/>
            <w:vAlign w:val="center"/>
          </w:tcPr>
          <w:p w:rsidR="00264DD1" w:rsidRPr="00B26583" w:rsidRDefault="00264DD1" w:rsidP="004E4335">
            <w:pPr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Принудительное закрытие позиции</w:t>
            </w:r>
          </w:p>
        </w:tc>
        <w:tc>
          <w:tcPr>
            <w:tcW w:w="3346" w:type="dxa"/>
            <w:gridSpan w:val="2"/>
            <w:shd w:val="clear" w:color="auto" w:fill="auto"/>
            <w:vAlign w:val="center"/>
          </w:tcPr>
          <w:p w:rsidR="00264DD1" w:rsidRPr="00B26583" w:rsidRDefault="00264DD1">
            <w:pPr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0,</w:t>
            </w:r>
            <w:r w:rsidR="000621F5">
              <w:rPr>
                <w:sz w:val="16"/>
                <w:szCs w:val="16"/>
              </w:rPr>
              <w:t>3</w:t>
            </w:r>
            <w:r w:rsidRPr="00B26583">
              <w:rPr>
                <w:sz w:val="16"/>
                <w:szCs w:val="16"/>
              </w:rPr>
              <w:t>%</w:t>
            </w:r>
            <w:r w:rsidR="0069070A" w:rsidRPr="00B26583">
              <w:rPr>
                <w:sz w:val="16"/>
                <w:szCs w:val="16"/>
              </w:rPr>
              <w:t xml:space="preserve"> (от суммы сделки)</w:t>
            </w:r>
          </w:p>
        </w:tc>
      </w:tr>
      <w:tr w:rsidR="0093015C" w:rsidRPr="00B26583" w:rsidTr="007349AB">
        <w:trPr>
          <w:tblCellSpacing w:w="20" w:type="dxa"/>
        </w:trPr>
        <w:tc>
          <w:tcPr>
            <w:tcW w:w="5752" w:type="dxa"/>
            <w:gridSpan w:val="4"/>
            <w:shd w:val="clear" w:color="auto" w:fill="auto"/>
            <w:vAlign w:val="center"/>
          </w:tcPr>
          <w:p w:rsidR="00617043" w:rsidRPr="00B26583" w:rsidRDefault="0093015C">
            <w:pPr>
              <w:tabs>
                <w:tab w:val="left" w:pos="3636"/>
              </w:tabs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Совершение сделок СВОП по размещению свободных</w:t>
            </w:r>
            <w:r w:rsidR="000E3B8D" w:rsidRPr="00B26583">
              <w:rPr>
                <w:sz w:val="16"/>
                <w:szCs w:val="16"/>
              </w:rPr>
              <w:t xml:space="preserve"> рублевых</w:t>
            </w:r>
            <w:r w:rsidRPr="00B26583">
              <w:rPr>
                <w:sz w:val="16"/>
                <w:szCs w:val="16"/>
              </w:rPr>
              <w:t xml:space="preserve"> денежных средств</w:t>
            </w:r>
            <w:r w:rsidR="002D08EE" w:rsidRPr="00B26583">
              <w:rPr>
                <w:sz w:val="16"/>
                <w:szCs w:val="16"/>
              </w:rPr>
              <w:t xml:space="preserve">  Клиента  </w:t>
            </w:r>
            <w:r w:rsidRPr="00B26583">
              <w:rPr>
                <w:sz w:val="16"/>
                <w:szCs w:val="16"/>
              </w:rPr>
              <w:t xml:space="preserve"> </w:t>
            </w:r>
          </w:p>
        </w:tc>
        <w:tc>
          <w:tcPr>
            <w:tcW w:w="3346" w:type="dxa"/>
            <w:gridSpan w:val="2"/>
            <w:shd w:val="clear" w:color="auto" w:fill="auto"/>
            <w:vAlign w:val="center"/>
          </w:tcPr>
          <w:p w:rsidR="00B3246F" w:rsidRPr="00B26583" w:rsidRDefault="000621F5">
            <w:pPr>
              <w:tabs>
                <w:tab w:val="left" w:pos="3636"/>
              </w:tabs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93015C" w:rsidRPr="00B26583">
              <w:rPr>
                <w:b/>
                <w:sz w:val="16"/>
                <w:szCs w:val="16"/>
              </w:rPr>
              <w:t>%</w:t>
            </w:r>
            <w:r w:rsidR="0093015C" w:rsidRPr="00B26583">
              <w:rPr>
                <w:sz w:val="16"/>
                <w:szCs w:val="16"/>
              </w:rPr>
              <w:t xml:space="preserve"> годовых от суммы сделки по первой части сделки СВОП </w:t>
            </w:r>
          </w:p>
        </w:tc>
      </w:tr>
      <w:tr w:rsidR="00CA2A75" w:rsidRPr="00B26583" w:rsidTr="007349AB">
        <w:trPr>
          <w:tblCellSpacing w:w="20" w:type="dxa"/>
        </w:trPr>
        <w:tc>
          <w:tcPr>
            <w:tcW w:w="9138" w:type="dxa"/>
            <w:gridSpan w:val="6"/>
            <w:shd w:val="clear" w:color="auto" w:fill="auto"/>
            <w:vAlign w:val="center"/>
          </w:tcPr>
          <w:p w:rsidR="00CA2A75" w:rsidRPr="00B26583" w:rsidRDefault="00CA2A75" w:rsidP="000054CE">
            <w:pPr>
              <w:jc w:val="both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 xml:space="preserve">Размер комиссионного вознаграждения Брокера, взимаемого от объема каждой первой части сделки СВОП в российских рублях, заключенной в ходе основной сессии (%) устанавливается  в зависимости </w:t>
            </w:r>
            <w:r w:rsidR="000054CE" w:rsidRPr="00B26583">
              <w:rPr>
                <w:sz w:val="16"/>
                <w:szCs w:val="16"/>
              </w:rPr>
              <w:t>и с учетом</w:t>
            </w:r>
            <w:r w:rsidRPr="00B26583">
              <w:rPr>
                <w:sz w:val="16"/>
                <w:szCs w:val="16"/>
              </w:rPr>
              <w:t xml:space="preserve"> срока</w:t>
            </w:r>
            <w:r w:rsidR="000054CE" w:rsidRPr="00B26583">
              <w:rPr>
                <w:sz w:val="16"/>
                <w:szCs w:val="16"/>
              </w:rPr>
              <w:t xml:space="preserve"> (количество календарных дней)</w:t>
            </w:r>
            <w:r w:rsidRPr="00B26583">
              <w:rPr>
                <w:sz w:val="16"/>
                <w:szCs w:val="16"/>
              </w:rPr>
              <w:t xml:space="preserve"> исполнения обязательств по второй части сделок СВОП: </w:t>
            </w:r>
          </w:p>
        </w:tc>
      </w:tr>
      <w:tr w:rsidR="00A8647D" w:rsidRPr="00B26583" w:rsidTr="0006050A">
        <w:trPr>
          <w:tblCellSpacing w:w="20" w:type="dxa"/>
        </w:trPr>
        <w:tc>
          <w:tcPr>
            <w:tcW w:w="2072" w:type="dxa"/>
            <w:shd w:val="clear" w:color="auto" w:fill="auto"/>
            <w:vAlign w:val="center"/>
          </w:tcPr>
          <w:p w:rsidR="00CA2A75" w:rsidRPr="00B26583" w:rsidRDefault="00CA2A75" w:rsidP="00A8647D">
            <w:pPr>
              <w:tabs>
                <w:tab w:val="left" w:pos="3636"/>
              </w:tabs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1и 2 месяца</w:t>
            </w:r>
          </w:p>
        </w:tc>
        <w:tc>
          <w:tcPr>
            <w:tcW w:w="2069" w:type="dxa"/>
            <w:gridSpan w:val="2"/>
            <w:shd w:val="clear" w:color="auto" w:fill="auto"/>
            <w:vAlign w:val="center"/>
          </w:tcPr>
          <w:p w:rsidR="00CA2A75" w:rsidRPr="00B26583" w:rsidRDefault="00CA2A75" w:rsidP="00A8647D">
            <w:pPr>
              <w:tabs>
                <w:tab w:val="left" w:pos="3636"/>
              </w:tabs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3 месяца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CA2A75" w:rsidRPr="00B26583" w:rsidRDefault="00CA2A75" w:rsidP="00A8647D">
            <w:pPr>
              <w:tabs>
                <w:tab w:val="left" w:pos="3636"/>
              </w:tabs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6 месяцев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A2A75" w:rsidRPr="00B26583" w:rsidRDefault="00CA2A75" w:rsidP="00A8647D">
            <w:pPr>
              <w:tabs>
                <w:tab w:val="left" w:pos="3636"/>
              </w:tabs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9 месяцев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2A75" w:rsidRPr="00B26583" w:rsidRDefault="00CA2A75" w:rsidP="00A8647D">
            <w:pPr>
              <w:tabs>
                <w:tab w:val="left" w:pos="3636"/>
              </w:tabs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12 месяцев</w:t>
            </w:r>
          </w:p>
        </w:tc>
      </w:tr>
      <w:tr w:rsidR="00A8647D" w:rsidRPr="00B26583" w:rsidTr="0006050A">
        <w:trPr>
          <w:tblCellSpacing w:w="20" w:type="dxa"/>
        </w:trPr>
        <w:tc>
          <w:tcPr>
            <w:tcW w:w="2072" w:type="dxa"/>
            <w:shd w:val="clear" w:color="auto" w:fill="auto"/>
            <w:vAlign w:val="center"/>
          </w:tcPr>
          <w:p w:rsidR="00CA2A75" w:rsidRPr="00B26583" w:rsidRDefault="006E7424">
            <w:pPr>
              <w:tabs>
                <w:tab w:val="left" w:pos="3636"/>
              </w:tabs>
              <w:jc w:val="center"/>
            </w:pPr>
            <w:r w:rsidRPr="00B26583">
              <w:rPr>
                <w:sz w:val="16"/>
                <w:szCs w:val="16"/>
              </w:rPr>
              <w:t>0,</w:t>
            </w:r>
            <w:r w:rsidR="003101EA" w:rsidRPr="00B26583">
              <w:rPr>
                <w:sz w:val="16"/>
                <w:szCs w:val="16"/>
              </w:rPr>
              <w:t>00</w:t>
            </w:r>
            <w:r w:rsidR="003101EA">
              <w:rPr>
                <w:sz w:val="16"/>
                <w:szCs w:val="16"/>
              </w:rPr>
              <w:t>5</w:t>
            </w:r>
            <w:r w:rsidR="003101EA" w:rsidRPr="00B26583">
              <w:rPr>
                <w:sz w:val="16"/>
                <w:szCs w:val="16"/>
              </w:rPr>
              <w:t>0</w:t>
            </w:r>
            <w:r w:rsidRPr="00B26583">
              <w:rPr>
                <w:sz w:val="16"/>
                <w:szCs w:val="16"/>
              </w:rPr>
              <w:t>%</w:t>
            </w:r>
          </w:p>
        </w:tc>
        <w:tc>
          <w:tcPr>
            <w:tcW w:w="2069" w:type="dxa"/>
            <w:gridSpan w:val="2"/>
            <w:shd w:val="clear" w:color="auto" w:fill="auto"/>
            <w:vAlign w:val="center"/>
          </w:tcPr>
          <w:p w:rsidR="00CA2A75" w:rsidRPr="00B26583" w:rsidRDefault="00A8647D">
            <w:pPr>
              <w:tabs>
                <w:tab w:val="left" w:pos="3636"/>
              </w:tabs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0,</w:t>
            </w:r>
            <w:r w:rsidR="003101EA" w:rsidRPr="00B26583">
              <w:rPr>
                <w:sz w:val="16"/>
                <w:szCs w:val="16"/>
              </w:rPr>
              <w:t>00</w:t>
            </w:r>
            <w:r w:rsidR="003101EA">
              <w:rPr>
                <w:sz w:val="16"/>
                <w:szCs w:val="16"/>
              </w:rPr>
              <w:t>6</w:t>
            </w:r>
            <w:r w:rsidR="003101EA" w:rsidRPr="00B26583">
              <w:rPr>
                <w:sz w:val="16"/>
                <w:szCs w:val="16"/>
              </w:rPr>
              <w:t>0</w:t>
            </w:r>
            <w:r w:rsidRPr="00B26583">
              <w:rPr>
                <w:sz w:val="16"/>
                <w:szCs w:val="16"/>
              </w:rPr>
              <w:t>%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CA2A75" w:rsidRPr="00B26583" w:rsidRDefault="00A8647D">
            <w:pPr>
              <w:tabs>
                <w:tab w:val="left" w:pos="3636"/>
              </w:tabs>
              <w:jc w:val="center"/>
            </w:pPr>
            <w:r w:rsidRPr="00B26583">
              <w:rPr>
                <w:sz w:val="16"/>
                <w:szCs w:val="16"/>
              </w:rPr>
              <w:t>0,</w:t>
            </w:r>
            <w:r w:rsidR="003101EA" w:rsidRPr="00B26583">
              <w:rPr>
                <w:sz w:val="16"/>
                <w:szCs w:val="16"/>
              </w:rPr>
              <w:t>00</w:t>
            </w:r>
            <w:r w:rsidR="003101EA">
              <w:rPr>
                <w:sz w:val="16"/>
                <w:szCs w:val="16"/>
              </w:rPr>
              <w:t>7</w:t>
            </w:r>
            <w:r w:rsidR="003101EA" w:rsidRPr="00B26583">
              <w:rPr>
                <w:sz w:val="16"/>
                <w:szCs w:val="16"/>
              </w:rPr>
              <w:t>0</w:t>
            </w:r>
            <w:r w:rsidRPr="00B26583">
              <w:rPr>
                <w:sz w:val="16"/>
                <w:szCs w:val="16"/>
              </w:rPr>
              <w:t>%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A2A75" w:rsidRPr="00B26583" w:rsidRDefault="00A8647D">
            <w:pPr>
              <w:tabs>
                <w:tab w:val="left" w:pos="3636"/>
              </w:tabs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0,</w:t>
            </w:r>
            <w:r w:rsidR="003101EA" w:rsidRPr="00B26583">
              <w:rPr>
                <w:sz w:val="16"/>
                <w:szCs w:val="16"/>
              </w:rPr>
              <w:t>00</w:t>
            </w:r>
            <w:r w:rsidR="003101EA">
              <w:rPr>
                <w:sz w:val="16"/>
                <w:szCs w:val="16"/>
              </w:rPr>
              <w:t>9</w:t>
            </w:r>
            <w:r w:rsidRPr="00B26583">
              <w:rPr>
                <w:sz w:val="16"/>
                <w:szCs w:val="16"/>
              </w:rPr>
              <w:t>%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2A75" w:rsidRPr="00B26583" w:rsidRDefault="00A8647D">
            <w:pPr>
              <w:tabs>
                <w:tab w:val="left" w:pos="3636"/>
              </w:tabs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0,</w:t>
            </w:r>
            <w:r w:rsidR="003101EA" w:rsidRPr="00B26583">
              <w:rPr>
                <w:sz w:val="16"/>
                <w:szCs w:val="16"/>
              </w:rPr>
              <w:t>01</w:t>
            </w:r>
            <w:r w:rsidR="003101EA">
              <w:rPr>
                <w:sz w:val="16"/>
                <w:szCs w:val="16"/>
              </w:rPr>
              <w:t>5</w:t>
            </w:r>
            <w:r w:rsidR="003101EA" w:rsidRPr="00B26583">
              <w:rPr>
                <w:sz w:val="16"/>
                <w:szCs w:val="16"/>
              </w:rPr>
              <w:t>0</w:t>
            </w:r>
            <w:r w:rsidRPr="00B26583">
              <w:rPr>
                <w:sz w:val="16"/>
                <w:szCs w:val="16"/>
              </w:rPr>
              <w:t>%</w:t>
            </w:r>
          </w:p>
        </w:tc>
      </w:tr>
    </w:tbl>
    <w:p w:rsidR="00087B65" w:rsidRPr="00B26583" w:rsidRDefault="00087B65" w:rsidP="00D33EC4">
      <w:pPr>
        <w:jc w:val="both"/>
        <w:rPr>
          <w:b/>
          <w:bCs/>
          <w:sz w:val="18"/>
          <w:szCs w:val="18"/>
        </w:rPr>
      </w:pPr>
    </w:p>
    <w:p w:rsidR="00BD3BE0" w:rsidRPr="00B26583" w:rsidRDefault="00BD3BE0" w:rsidP="00D33EC4">
      <w:pPr>
        <w:jc w:val="both"/>
        <w:rPr>
          <w:b/>
          <w:bCs/>
          <w:sz w:val="18"/>
          <w:szCs w:val="18"/>
        </w:rPr>
      </w:pPr>
    </w:p>
    <w:p w:rsidR="006423AB" w:rsidRPr="00B26583" w:rsidRDefault="006423AB" w:rsidP="00D33EC4">
      <w:pPr>
        <w:jc w:val="both"/>
        <w:rPr>
          <w:b/>
          <w:bCs/>
          <w:sz w:val="18"/>
          <w:szCs w:val="18"/>
        </w:rPr>
      </w:pPr>
      <w:r w:rsidRPr="00B26583">
        <w:rPr>
          <w:b/>
          <w:bCs/>
          <w:sz w:val="18"/>
          <w:szCs w:val="18"/>
        </w:rPr>
        <w:t xml:space="preserve">Тарифы для юридических и физических лиц за </w:t>
      </w:r>
      <w:r w:rsidR="00563CB7" w:rsidRPr="00B26583">
        <w:rPr>
          <w:b/>
          <w:bCs/>
          <w:sz w:val="18"/>
          <w:szCs w:val="18"/>
        </w:rPr>
        <w:t>совершение</w:t>
      </w:r>
      <w:r w:rsidRPr="00B26583">
        <w:rPr>
          <w:b/>
          <w:bCs/>
          <w:sz w:val="18"/>
          <w:szCs w:val="18"/>
        </w:rPr>
        <w:t xml:space="preserve"> Специальных сделок РЕПО</w:t>
      </w:r>
      <w:r w:rsidR="008603FE" w:rsidRPr="00B26583">
        <w:rPr>
          <w:b/>
          <w:bCs/>
          <w:sz w:val="18"/>
          <w:szCs w:val="18"/>
        </w:rPr>
        <w:t>/РПС</w:t>
      </w:r>
      <w:r w:rsidRPr="00B26583">
        <w:rPr>
          <w:b/>
          <w:bCs/>
          <w:sz w:val="18"/>
          <w:szCs w:val="18"/>
        </w:rPr>
        <w:t xml:space="preserve"> по пер</w:t>
      </w:r>
      <w:r w:rsidR="004802F3" w:rsidRPr="00B26583">
        <w:rPr>
          <w:b/>
          <w:bCs/>
          <w:sz w:val="18"/>
          <w:szCs w:val="18"/>
        </w:rPr>
        <w:t xml:space="preserve">еносу необеспеченных позиций в </w:t>
      </w:r>
      <w:r w:rsidRPr="00B26583">
        <w:rPr>
          <w:b/>
          <w:bCs/>
          <w:sz w:val="18"/>
          <w:szCs w:val="18"/>
        </w:rPr>
        <w:t xml:space="preserve">режиме Т+ </w:t>
      </w:r>
      <w:r w:rsidR="00927206" w:rsidRPr="00B26583">
        <w:rPr>
          <w:b/>
          <w:bCs/>
          <w:sz w:val="18"/>
          <w:szCs w:val="18"/>
        </w:rPr>
        <w:t>ПАО Московская Биржа</w:t>
      </w:r>
    </w:p>
    <w:p w:rsidR="006423AB" w:rsidRPr="00B26583" w:rsidRDefault="006423AB" w:rsidP="00A56EB0">
      <w:pPr>
        <w:rPr>
          <w:b/>
          <w:sz w:val="16"/>
          <w:szCs w:val="16"/>
        </w:rPr>
      </w:pPr>
    </w:p>
    <w:tbl>
      <w:tblPr>
        <w:tblW w:w="4714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945"/>
        <w:gridCol w:w="3260"/>
      </w:tblGrid>
      <w:tr w:rsidR="00A835F1" w:rsidRPr="00B26583" w:rsidTr="007349AB">
        <w:trPr>
          <w:tblCellSpacing w:w="7" w:type="dxa"/>
        </w:trPr>
        <w:tc>
          <w:tcPr>
            <w:tcW w:w="5925" w:type="dxa"/>
            <w:vAlign w:val="center"/>
          </w:tcPr>
          <w:p w:rsidR="00A835F1" w:rsidRPr="00B26583" w:rsidRDefault="00A835F1" w:rsidP="0005169B">
            <w:pPr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 xml:space="preserve">Тариф (вознаграждение Брокера) за совершение Специальных сделок РЕПО/РПС. </w:t>
            </w:r>
          </w:p>
          <w:p w:rsidR="00A835F1" w:rsidRPr="00B26583" w:rsidRDefault="00A835F1" w:rsidP="0005169B">
            <w:pPr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НДС не облагается в соответствии со Ст.149 НК РФ.</w:t>
            </w:r>
          </w:p>
        </w:tc>
        <w:tc>
          <w:tcPr>
            <w:tcW w:w="3239" w:type="dxa"/>
          </w:tcPr>
          <w:p w:rsidR="00A835F1" w:rsidRPr="00B26583" w:rsidRDefault="00A835F1" w:rsidP="0005169B">
            <w:pPr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для Клиентов со Стандартным уровнем риска (КСУР)</w:t>
            </w:r>
            <w:r w:rsidRPr="000621F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и </w:t>
            </w:r>
            <w:r w:rsidRPr="000621F5">
              <w:rPr>
                <w:sz w:val="16"/>
                <w:szCs w:val="16"/>
              </w:rPr>
              <w:t>с Повышенным уровнем риска (КПУР)</w:t>
            </w:r>
          </w:p>
        </w:tc>
      </w:tr>
      <w:tr w:rsidR="00A835F1" w:rsidRPr="00B26583" w:rsidTr="007349AB">
        <w:trPr>
          <w:cantSplit/>
          <w:tblCellSpacing w:w="7" w:type="dxa"/>
        </w:trPr>
        <w:tc>
          <w:tcPr>
            <w:tcW w:w="5925" w:type="dxa"/>
            <w:vAlign w:val="center"/>
          </w:tcPr>
          <w:p w:rsidR="00A835F1" w:rsidRPr="00B26583" w:rsidRDefault="00A835F1" w:rsidP="0005169B">
            <w:pPr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 xml:space="preserve">Комиссия Брокера за совершение Специальных сделок РЕПО/РПС при переносе обязательств по оплате ценных бумаг, в % годовых от суммы сделки продажи по первой части </w:t>
            </w:r>
            <w:r w:rsidRPr="00B2658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26583">
              <w:rPr>
                <w:sz w:val="16"/>
                <w:szCs w:val="16"/>
              </w:rPr>
              <w:t>Специальной сделки РЕПО/РПС с учетом количества календарных дней переноса</w:t>
            </w:r>
          </w:p>
        </w:tc>
        <w:tc>
          <w:tcPr>
            <w:tcW w:w="3239" w:type="dxa"/>
            <w:vAlign w:val="center"/>
          </w:tcPr>
          <w:p w:rsidR="00A835F1" w:rsidRPr="00A835F1" w:rsidRDefault="00A835F1">
            <w:pPr>
              <w:jc w:val="center"/>
              <w:rPr>
                <w:sz w:val="16"/>
                <w:szCs w:val="16"/>
                <w:lang w:val="en-US"/>
              </w:rPr>
            </w:pPr>
            <w:r w:rsidRPr="000621F5">
              <w:rPr>
                <w:sz w:val="16"/>
                <w:szCs w:val="16"/>
              </w:rPr>
              <w:t>Ключевая ставка +7% годовых</w:t>
            </w:r>
          </w:p>
        </w:tc>
      </w:tr>
      <w:tr w:rsidR="00A835F1" w:rsidRPr="00B26583" w:rsidTr="007349AB">
        <w:trPr>
          <w:cantSplit/>
          <w:tblCellSpacing w:w="7" w:type="dxa"/>
        </w:trPr>
        <w:tc>
          <w:tcPr>
            <w:tcW w:w="5925" w:type="dxa"/>
            <w:vAlign w:val="center"/>
          </w:tcPr>
          <w:p w:rsidR="00A835F1" w:rsidRPr="00B26583" w:rsidRDefault="00A835F1" w:rsidP="0005169B">
            <w:pPr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Комиссия Брокера за совершение Специальных сделок РЕПО/РПС при переносе обязательств по поставке ценных бумаг,</w:t>
            </w:r>
            <w:r w:rsidRPr="00B26583">
              <w:rPr>
                <w:b/>
                <w:sz w:val="16"/>
                <w:szCs w:val="16"/>
              </w:rPr>
              <w:t xml:space="preserve"> </w:t>
            </w:r>
            <w:r w:rsidRPr="00B26583">
              <w:rPr>
                <w:sz w:val="16"/>
                <w:szCs w:val="16"/>
              </w:rPr>
              <w:t>в % годовых от суммы  сделки покупки по первой части Специальной сделки РЕПО/РПС с учетом количества календарных дней переноса</w:t>
            </w:r>
          </w:p>
        </w:tc>
        <w:tc>
          <w:tcPr>
            <w:tcW w:w="3239" w:type="dxa"/>
            <w:vAlign w:val="center"/>
          </w:tcPr>
          <w:p w:rsidR="00A835F1" w:rsidRPr="00A835F1" w:rsidRDefault="00A835F1">
            <w:pPr>
              <w:jc w:val="center"/>
              <w:rPr>
                <w:sz w:val="16"/>
                <w:szCs w:val="16"/>
                <w:lang w:val="en-US"/>
              </w:rPr>
            </w:pPr>
            <w:r w:rsidRPr="000621F5">
              <w:rPr>
                <w:sz w:val="16"/>
                <w:szCs w:val="16"/>
              </w:rPr>
              <w:t>Ключевая ставка</w:t>
            </w:r>
          </w:p>
        </w:tc>
      </w:tr>
    </w:tbl>
    <w:p w:rsidR="006423AB" w:rsidRPr="00B26583" w:rsidRDefault="006423AB" w:rsidP="00A56EB0">
      <w:pPr>
        <w:rPr>
          <w:b/>
          <w:sz w:val="16"/>
          <w:szCs w:val="16"/>
        </w:rPr>
      </w:pPr>
    </w:p>
    <w:p w:rsidR="00D263B7" w:rsidRPr="00B26583" w:rsidRDefault="00D263B7" w:rsidP="002651C0">
      <w:pPr>
        <w:jc w:val="both"/>
        <w:rPr>
          <w:b/>
          <w:bCs/>
          <w:sz w:val="18"/>
          <w:szCs w:val="18"/>
        </w:rPr>
      </w:pPr>
    </w:p>
    <w:p w:rsidR="002651C0" w:rsidRPr="00B26583" w:rsidRDefault="002651C0" w:rsidP="002651C0">
      <w:pPr>
        <w:jc w:val="both"/>
        <w:rPr>
          <w:b/>
          <w:bCs/>
          <w:sz w:val="18"/>
          <w:szCs w:val="18"/>
        </w:rPr>
      </w:pPr>
      <w:r w:rsidRPr="00B26583">
        <w:rPr>
          <w:b/>
          <w:bCs/>
          <w:sz w:val="18"/>
          <w:szCs w:val="18"/>
        </w:rPr>
        <w:t xml:space="preserve">Тариф за совершение сделок РЕПО с ЦК в режиме Т+ </w:t>
      </w:r>
      <w:r w:rsidR="00927206" w:rsidRPr="00B26583">
        <w:rPr>
          <w:b/>
          <w:bCs/>
          <w:sz w:val="18"/>
          <w:szCs w:val="18"/>
        </w:rPr>
        <w:t>ПАО Московская Биржа</w:t>
      </w:r>
      <w:r w:rsidR="005B3AB5" w:rsidRPr="00B26583">
        <w:rPr>
          <w:b/>
          <w:bCs/>
          <w:sz w:val="18"/>
          <w:szCs w:val="18"/>
        </w:rPr>
        <w:t>:</w:t>
      </w:r>
    </w:p>
    <w:p w:rsidR="00FF787D" w:rsidRPr="00B26583" w:rsidRDefault="00FF787D" w:rsidP="002651C0">
      <w:pPr>
        <w:jc w:val="both"/>
        <w:rPr>
          <w:b/>
          <w:bCs/>
          <w:sz w:val="18"/>
          <w:szCs w:val="18"/>
        </w:rPr>
      </w:pPr>
    </w:p>
    <w:p w:rsidR="00FF787D" w:rsidRPr="00B26583" w:rsidRDefault="00B73D90" w:rsidP="002651C0">
      <w:pPr>
        <w:jc w:val="both"/>
        <w:rPr>
          <w:b/>
          <w:bCs/>
          <w:i/>
          <w:sz w:val="18"/>
          <w:szCs w:val="18"/>
        </w:rPr>
      </w:pPr>
      <w:r w:rsidRPr="00B26583">
        <w:rPr>
          <w:b/>
          <w:bCs/>
          <w:i/>
          <w:sz w:val="18"/>
          <w:szCs w:val="18"/>
        </w:rPr>
        <w:t>- для физических и юридических лиц:</w:t>
      </w:r>
    </w:p>
    <w:p w:rsidR="002651C0" w:rsidRPr="00B26583" w:rsidRDefault="002651C0" w:rsidP="002651C0">
      <w:pPr>
        <w:rPr>
          <w:sz w:val="16"/>
          <w:szCs w:val="16"/>
        </w:rPr>
      </w:pPr>
    </w:p>
    <w:tbl>
      <w:tblPr>
        <w:tblW w:w="4971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9707"/>
      </w:tblGrid>
      <w:tr w:rsidR="002651C0" w:rsidRPr="00B26583" w:rsidTr="00B953CC">
        <w:trPr>
          <w:cantSplit/>
          <w:tblCellSpacing w:w="7" w:type="dxa"/>
        </w:trPr>
        <w:tc>
          <w:tcPr>
            <w:tcW w:w="9813" w:type="dxa"/>
            <w:vAlign w:val="center"/>
          </w:tcPr>
          <w:p w:rsidR="002651C0" w:rsidRPr="00B26583" w:rsidRDefault="002651C0" w:rsidP="00FE5F71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Комиссия Брокера за совершение сделок РЕПО с ЦК</w:t>
            </w:r>
            <w:r w:rsidR="00FB4488" w:rsidRPr="00B26583">
              <w:rPr>
                <w:sz w:val="16"/>
                <w:szCs w:val="16"/>
              </w:rPr>
              <w:t xml:space="preserve"> с расчетами в рублях</w:t>
            </w:r>
            <w:r w:rsidRPr="00B26583">
              <w:rPr>
                <w:sz w:val="16"/>
                <w:szCs w:val="16"/>
              </w:rPr>
              <w:t>. НДС не облагается в соответствии со Ст.149 НК РФ:</w:t>
            </w:r>
          </w:p>
          <w:p w:rsidR="00B3246F" w:rsidRPr="00B26583" w:rsidRDefault="00DA6DC7">
            <w:pPr>
              <w:rPr>
                <w:sz w:val="22"/>
                <w:szCs w:val="22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2651C0" w:rsidRPr="00B26583">
              <w:rPr>
                <w:b/>
                <w:sz w:val="16"/>
                <w:szCs w:val="16"/>
              </w:rPr>
              <w:t xml:space="preserve"> %</w:t>
            </w:r>
            <w:r w:rsidR="002651C0" w:rsidRPr="00B26583">
              <w:rPr>
                <w:sz w:val="16"/>
                <w:szCs w:val="16"/>
              </w:rPr>
              <w:t xml:space="preserve"> годовых от суммы сделки по первой части сделки РЕПО с ЦК с учетом количества календарных дней (срок сделки </w:t>
            </w:r>
            <w:r w:rsidR="001E14A8" w:rsidRPr="00B26583">
              <w:rPr>
                <w:sz w:val="16"/>
                <w:szCs w:val="16"/>
              </w:rPr>
              <w:t>РЕПО с ЦК</w:t>
            </w:r>
            <w:r w:rsidR="002651C0" w:rsidRPr="00B26583">
              <w:rPr>
                <w:sz w:val="16"/>
                <w:szCs w:val="16"/>
              </w:rPr>
              <w:t>)</w:t>
            </w:r>
            <w:r w:rsidR="002651C0" w:rsidRPr="00B26583">
              <w:rPr>
                <w:sz w:val="22"/>
                <w:szCs w:val="22"/>
              </w:rPr>
              <w:t xml:space="preserve"> </w:t>
            </w:r>
          </w:p>
        </w:tc>
      </w:tr>
      <w:tr w:rsidR="00B953CC" w:rsidRPr="00B26583" w:rsidTr="00B953CC">
        <w:trPr>
          <w:cantSplit/>
          <w:tblCellSpacing w:w="7" w:type="dxa"/>
        </w:trPr>
        <w:tc>
          <w:tcPr>
            <w:tcW w:w="9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53CC" w:rsidRPr="00B26583" w:rsidRDefault="00B953CC" w:rsidP="000639C3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Комиссия Брокера за совершение</w:t>
            </w:r>
            <w:r w:rsidR="009D619E" w:rsidRPr="00B26583">
              <w:rPr>
                <w:sz w:val="16"/>
                <w:szCs w:val="16"/>
              </w:rPr>
              <w:t xml:space="preserve"> сделок </w:t>
            </w:r>
            <w:r w:rsidRPr="00B26583">
              <w:rPr>
                <w:sz w:val="16"/>
                <w:szCs w:val="16"/>
              </w:rPr>
              <w:t xml:space="preserve">РЕПО с ЦК </w:t>
            </w:r>
            <w:r w:rsidR="00FB4488" w:rsidRPr="00B26583">
              <w:rPr>
                <w:sz w:val="16"/>
                <w:szCs w:val="16"/>
              </w:rPr>
              <w:t>с расчетами</w:t>
            </w:r>
            <w:r w:rsidRPr="00B26583">
              <w:rPr>
                <w:sz w:val="16"/>
                <w:szCs w:val="16"/>
              </w:rPr>
              <w:t xml:space="preserve"> в иностранной валюте. НДС не облагается в соответствии со Ст.149 НК РФ</w:t>
            </w:r>
            <w:r w:rsidR="00923329" w:rsidRPr="00B26583">
              <w:rPr>
                <w:sz w:val="16"/>
                <w:szCs w:val="16"/>
                <w:vertAlign w:val="superscript"/>
              </w:rPr>
              <w:t>2</w:t>
            </w:r>
            <w:r w:rsidRPr="00B26583">
              <w:rPr>
                <w:sz w:val="16"/>
                <w:szCs w:val="16"/>
              </w:rPr>
              <w:t>:</w:t>
            </w:r>
          </w:p>
          <w:p w:rsidR="00B953CC" w:rsidRPr="00B26583" w:rsidRDefault="00B953CC">
            <w:pPr>
              <w:rPr>
                <w:sz w:val="16"/>
                <w:szCs w:val="16"/>
              </w:rPr>
            </w:pPr>
            <w:r w:rsidRPr="00B26583">
              <w:rPr>
                <w:b/>
                <w:sz w:val="16"/>
                <w:szCs w:val="16"/>
              </w:rPr>
              <w:t>0,</w:t>
            </w:r>
            <w:r w:rsidR="00DA6DC7">
              <w:rPr>
                <w:b/>
                <w:sz w:val="16"/>
                <w:szCs w:val="16"/>
              </w:rPr>
              <w:t>5</w:t>
            </w:r>
            <w:r w:rsidR="00DA6DC7" w:rsidRPr="00B26583">
              <w:rPr>
                <w:sz w:val="16"/>
                <w:szCs w:val="16"/>
              </w:rPr>
              <w:t xml:space="preserve"> </w:t>
            </w:r>
            <w:r w:rsidRPr="00B26583">
              <w:rPr>
                <w:sz w:val="16"/>
                <w:szCs w:val="16"/>
              </w:rPr>
              <w:t xml:space="preserve">% годовых от суммы сделки по первой части сделки РЕПО с ЦК с учетом количества календарных дней (срок сделки РЕПО с ЦК) </w:t>
            </w:r>
          </w:p>
        </w:tc>
      </w:tr>
    </w:tbl>
    <w:p w:rsidR="00A41C44" w:rsidRPr="00B26583" w:rsidRDefault="00A41C44" w:rsidP="00A56EB0">
      <w:pPr>
        <w:rPr>
          <w:b/>
          <w:bCs/>
          <w:sz w:val="18"/>
          <w:szCs w:val="18"/>
        </w:rPr>
      </w:pPr>
    </w:p>
    <w:p w:rsidR="003268B7" w:rsidRPr="00B26583" w:rsidRDefault="00B73D90" w:rsidP="003268B7">
      <w:pPr>
        <w:jc w:val="both"/>
        <w:rPr>
          <w:b/>
          <w:bCs/>
          <w:i/>
          <w:sz w:val="18"/>
          <w:szCs w:val="18"/>
        </w:rPr>
      </w:pPr>
      <w:r w:rsidRPr="00B26583">
        <w:rPr>
          <w:b/>
          <w:bCs/>
          <w:i/>
          <w:sz w:val="18"/>
          <w:szCs w:val="18"/>
        </w:rPr>
        <w:t xml:space="preserve">- </w:t>
      </w:r>
      <w:r w:rsidR="002C51EF" w:rsidRPr="00B26583">
        <w:rPr>
          <w:b/>
          <w:bCs/>
          <w:i/>
          <w:sz w:val="18"/>
          <w:szCs w:val="18"/>
        </w:rPr>
        <w:t xml:space="preserve">опционально* </w:t>
      </w:r>
      <w:r w:rsidRPr="00B26583">
        <w:rPr>
          <w:b/>
          <w:bCs/>
          <w:i/>
          <w:sz w:val="18"/>
          <w:szCs w:val="18"/>
        </w:rPr>
        <w:t>для физических лиц,</w:t>
      </w:r>
      <w:r w:rsidR="0094643A" w:rsidRPr="00B26583">
        <w:rPr>
          <w:b/>
          <w:bCs/>
          <w:i/>
          <w:sz w:val="18"/>
          <w:szCs w:val="18"/>
        </w:rPr>
        <w:t xml:space="preserve"> работающих с </w:t>
      </w:r>
      <w:r w:rsidRPr="00B26583">
        <w:rPr>
          <w:b/>
          <w:bCs/>
          <w:i/>
          <w:sz w:val="18"/>
          <w:szCs w:val="18"/>
        </w:rPr>
        <w:t>Брокером более пяти лет:</w:t>
      </w:r>
    </w:p>
    <w:p w:rsidR="00B73D90" w:rsidRPr="00B26583" w:rsidRDefault="00B73D90">
      <w:pPr>
        <w:jc w:val="both"/>
        <w:rPr>
          <w:sz w:val="16"/>
          <w:szCs w:val="16"/>
        </w:rPr>
      </w:pPr>
      <w:r w:rsidRPr="00B26583">
        <w:rPr>
          <w:sz w:val="16"/>
          <w:szCs w:val="16"/>
        </w:rPr>
        <w:t>(Работающими с Брокером более пяти лет признаются Клиенты – физические лица, поддерживающие непрерывные договорные отношения с Брокером более 5 (пяти) календарных лет</w:t>
      </w:r>
      <w:r w:rsidR="0094643A" w:rsidRPr="00B26583">
        <w:rPr>
          <w:sz w:val="16"/>
          <w:szCs w:val="16"/>
        </w:rPr>
        <w:t>,</w:t>
      </w:r>
      <w:r w:rsidRPr="00B26583">
        <w:rPr>
          <w:sz w:val="16"/>
          <w:szCs w:val="16"/>
        </w:rPr>
        <w:t xml:space="preserve"> независимо от объема операций з</w:t>
      </w:r>
      <w:r w:rsidR="00A33D40" w:rsidRPr="00B26583">
        <w:rPr>
          <w:sz w:val="16"/>
          <w:szCs w:val="16"/>
        </w:rPr>
        <w:t xml:space="preserve">а указанный период и стоимости </w:t>
      </w:r>
      <w:r w:rsidR="00966C3A" w:rsidRPr="00B26583">
        <w:rPr>
          <w:sz w:val="16"/>
          <w:szCs w:val="16"/>
        </w:rPr>
        <w:t>А</w:t>
      </w:r>
      <w:r w:rsidRPr="00B26583">
        <w:rPr>
          <w:sz w:val="16"/>
          <w:szCs w:val="16"/>
        </w:rPr>
        <w:t>ктивов Клиента</w:t>
      </w:r>
      <w:r w:rsidR="00D075A5" w:rsidRPr="00B26583">
        <w:rPr>
          <w:sz w:val="16"/>
          <w:szCs w:val="16"/>
        </w:rPr>
        <w:t>.)</w:t>
      </w:r>
    </w:p>
    <w:p w:rsidR="00B73D90" w:rsidRPr="00B26583" w:rsidRDefault="00B73D90">
      <w:pPr>
        <w:jc w:val="both"/>
        <w:rPr>
          <w:sz w:val="16"/>
          <w:szCs w:val="16"/>
        </w:rPr>
      </w:pPr>
    </w:p>
    <w:tbl>
      <w:tblPr>
        <w:tblW w:w="4971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9707"/>
      </w:tblGrid>
      <w:tr w:rsidR="003268B7" w:rsidRPr="00B26583" w:rsidTr="00BF0BE6">
        <w:trPr>
          <w:cantSplit/>
          <w:tblCellSpacing w:w="7" w:type="dxa"/>
        </w:trPr>
        <w:tc>
          <w:tcPr>
            <w:tcW w:w="9813" w:type="dxa"/>
            <w:vAlign w:val="center"/>
          </w:tcPr>
          <w:p w:rsidR="003268B7" w:rsidRPr="00B26583" w:rsidRDefault="003268B7" w:rsidP="00FF787D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 xml:space="preserve">Комиссия Брокера за совершение </w:t>
            </w:r>
            <w:r w:rsidR="0094643A" w:rsidRPr="00B26583">
              <w:rPr>
                <w:sz w:val="16"/>
                <w:szCs w:val="16"/>
              </w:rPr>
              <w:t xml:space="preserve">сделок </w:t>
            </w:r>
            <w:r w:rsidRPr="00B26583">
              <w:rPr>
                <w:sz w:val="16"/>
                <w:szCs w:val="16"/>
              </w:rPr>
              <w:t>РЕПО с ЦК</w:t>
            </w:r>
            <w:r w:rsidR="00FB4488" w:rsidRPr="00B26583">
              <w:rPr>
                <w:sz w:val="16"/>
                <w:szCs w:val="16"/>
              </w:rPr>
              <w:t xml:space="preserve"> с расчетами в рублях</w:t>
            </w:r>
            <w:r w:rsidRPr="00B26583">
              <w:rPr>
                <w:sz w:val="16"/>
                <w:szCs w:val="16"/>
              </w:rPr>
              <w:t>. НДС не облагается в соответствии со Ст.149 НК РФ:</w:t>
            </w:r>
          </w:p>
          <w:p w:rsidR="003268B7" w:rsidRPr="00B26583" w:rsidRDefault="003268B7">
            <w:pPr>
              <w:rPr>
                <w:sz w:val="22"/>
                <w:szCs w:val="22"/>
              </w:rPr>
            </w:pPr>
            <w:r w:rsidRPr="00B26583">
              <w:rPr>
                <w:b/>
                <w:sz w:val="16"/>
                <w:szCs w:val="16"/>
              </w:rPr>
              <w:t>0,</w:t>
            </w:r>
            <w:r w:rsidR="004F6EBC">
              <w:rPr>
                <w:b/>
                <w:sz w:val="16"/>
                <w:szCs w:val="16"/>
              </w:rPr>
              <w:t>95</w:t>
            </w:r>
            <w:r w:rsidRPr="00B26583">
              <w:rPr>
                <w:b/>
                <w:sz w:val="16"/>
                <w:szCs w:val="16"/>
              </w:rPr>
              <w:t>%</w:t>
            </w:r>
            <w:r w:rsidRPr="00B26583">
              <w:rPr>
                <w:sz w:val="16"/>
                <w:szCs w:val="16"/>
              </w:rPr>
              <w:t xml:space="preserve"> годовых от суммы сделки по первой части сделки РЕПО с ЦК с учетом количества календарных дней (срок сделки РЕПО с ЦК)</w:t>
            </w:r>
            <w:r w:rsidRPr="00B26583">
              <w:rPr>
                <w:sz w:val="22"/>
                <w:szCs w:val="22"/>
              </w:rPr>
              <w:t xml:space="preserve"> </w:t>
            </w:r>
          </w:p>
        </w:tc>
      </w:tr>
    </w:tbl>
    <w:p w:rsidR="00BF0BE6" w:rsidRPr="00B26583" w:rsidRDefault="002C51EF" w:rsidP="00BF0BE6">
      <w:pPr>
        <w:jc w:val="both"/>
        <w:rPr>
          <w:b/>
          <w:bCs/>
          <w:sz w:val="18"/>
          <w:szCs w:val="18"/>
        </w:rPr>
      </w:pPr>
      <w:r w:rsidRPr="00B26583">
        <w:rPr>
          <w:sz w:val="16"/>
          <w:szCs w:val="16"/>
        </w:rPr>
        <w:t>*</w:t>
      </w:r>
      <w:r w:rsidR="00BF0BE6" w:rsidRPr="00B26583">
        <w:rPr>
          <w:sz w:val="16"/>
          <w:szCs w:val="16"/>
        </w:rPr>
        <w:t>Клиент – физическое лицо может перейти на данный тарифный план по истечении пяти календарных лет со дня заключения Соглашения/Договора,</w:t>
      </w:r>
      <w:r w:rsidR="009D619E" w:rsidRPr="00B26583">
        <w:rPr>
          <w:sz w:val="16"/>
          <w:szCs w:val="16"/>
        </w:rPr>
        <w:t xml:space="preserve"> </w:t>
      </w:r>
      <w:r w:rsidR="00BF0BE6" w:rsidRPr="00B26583">
        <w:rPr>
          <w:sz w:val="16"/>
          <w:szCs w:val="16"/>
        </w:rPr>
        <w:t>путем направления Брокеру Заявления об изменении условий обслуживания (Приложение №2в к Регламенту). Новый тариф вступает в действие с 01 числа месяца, следующего за месяцем, в котором Клиентом было направлено указанное Заявление об изменении условий обслуживания.</w:t>
      </w:r>
    </w:p>
    <w:p w:rsidR="002B09C5" w:rsidRPr="00B26583" w:rsidRDefault="002B09C5" w:rsidP="003338D2">
      <w:pPr>
        <w:jc w:val="both"/>
        <w:rPr>
          <w:b/>
          <w:bCs/>
          <w:sz w:val="18"/>
          <w:szCs w:val="18"/>
        </w:rPr>
      </w:pPr>
    </w:p>
    <w:p w:rsidR="00A835F1" w:rsidRDefault="00A835F1">
      <w:pPr>
        <w:jc w:val="both"/>
        <w:rPr>
          <w:b/>
          <w:bCs/>
          <w:sz w:val="18"/>
          <w:szCs w:val="18"/>
        </w:rPr>
      </w:pPr>
    </w:p>
    <w:p w:rsidR="00A835F1" w:rsidRDefault="00A835F1">
      <w:pPr>
        <w:jc w:val="both"/>
        <w:rPr>
          <w:b/>
          <w:bCs/>
          <w:sz w:val="18"/>
          <w:szCs w:val="18"/>
        </w:rPr>
      </w:pPr>
    </w:p>
    <w:p w:rsidR="00A835F1" w:rsidRDefault="00A835F1">
      <w:pPr>
        <w:jc w:val="both"/>
        <w:rPr>
          <w:b/>
          <w:bCs/>
          <w:sz w:val="18"/>
          <w:szCs w:val="18"/>
        </w:rPr>
      </w:pPr>
    </w:p>
    <w:p w:rsidR="00761519" w:rsidRPr="00B26583" w:rsidRDefault="00FC2FB2">
      <w:pPr>
        <w:jc w:val="both"/>
        <w:rPr>
          <w:b/>
          <w:bCs/>
          <w:sz w:val="18"/>
          <w:szCs w:val="18"/>
        </w:rPr>
      </w:pPr>
      <w:r w:rsidRPr="00B26583">
        <w:rPr>
          <w:b/>
          <w:bCs/>
          <w:sz w:val="18"/>
          <w:szCs w:val="18"/>
        </w:rPr>
        <w:t xml:space="preserve">Тарифы за </w:t>
      </w:r>
      <w:r w:rsidR="00176A1A" w:rsidRPr="00B26583">
        <w:rPr>
          <w:b/>
          <w:bCs/>
          <w:sz w:val="18"/>
          <w:szCs w:val="18"/>
        </w:rPr>
        <w:t>совершение сделок</w:t>
      </w:r>
      <w:r w:rsidR="00534CDD" w:rsidRPr="00B26583">
        <w:rPr>
          <w:b/>
          <w:bCs/>
          <w:sz w:val="18"/>
          <w:szCs w:val="18"/>
        </w:rPr>
        <w:t xml:space="preserve"> по приобретению ценных бумаг в процессе публичного первичного размещения, а также за </w:t>
      </w:r>
      <w:r w:rsidRPr="00B26583">
        <w:rPr>
          <w:b/>
          <w:bCs/>
          <w:sz w:val="18"/>
          <w:szCs w:val="18"/>
        </w:rPr>
        <w:t xml:space="preserve">совершение сделок на торгах </w:t>
      </w:r>
      <w:r w:rsidR="00200E90" w:rsidRPr="00B26583">
        <w:rPr>
          <w:b/>
          <w:bCs/>
          <w:sz w:val="18"/>
          <w:szCs w:val="18"/>
        </w:rPr>
        <w:t>ПАО Московская Биржа</w:t>
      </w:r>
      <w:r w:rsidRPr="00B26583">
        <w:rPr>
          <w:b/>
          <w:bCs/>
          <w:sz w:val="18"/>
          <w:szCs w:val="18"/>
        </w:rPr>
        <w:t xml:space="preserve"> в режиме торгов «Разме</w:t>
      </w:r>
      <w:r w:rsidR="00D929DC" w:rsidRPr="00B26583">
        <w:rPr>
          <w:b/>
          <w:bCs/>
          <w:sz w:val="18"/>
          <w:szCs w:val="18"/>
        </w:rPr>
        <w:t>щение: Аукцион» или «Размещение:</w:t>
      </w:r>
      <w:r w:rsidRPr="00B26583">
        <w:rPr>
          <w:b/>
          <w:bCs/>
          <w:sz w:val="18"/>
          <w:szCs w:val="18"/>
        </w:rPr>
        <w:t xml:space="preserve"> Адресные заявки»</w:t>
      </w:r>
    </w:p>
    <w:p w:rsidR="00761519" w:rsidRPr="00B26583" w:rsidRDefault="00761519">
      <w:pPr>
        <w:jc w:val="both"/>
        <w:rPr>
          <w:b/>
          <w:bCs/>
          <w:sz w:val="18"/>
          <w:szCs w:val="18"/>
        </w:rPr>
      </w:pPr>
    </w:p>
    <w:tbl>
      <w:tblPr>
        <w:tblW w:w="4971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6071"/>
        <w:gridCol w:w="3636"/>
      </w:tblGrid>
      <w:tr w:rsidR="00534CDD" w:rsidRPr="00B26583" w:rsidTr="00D263B7">
        <w:trPr>
          <w:cantSplit/>
          <w:tblCellSpacing w:w="7" w:type="dxa"/>
        </w:trPr>
        <w:tc>
          <w:tcPr>
            <w:tcW w:w="3117" w:type="pct"/>
          </w:tcPr>
          <w:p w:rsidR="00761519" w:rsidRPr="00B26583" w:rsidRDefault="00A42ABF" w:rsidP="00FC2FB2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Вознаграждение Брокера за обр</w:t>
            </w:r>
            <w:r w:rsidR="00047EB8" w:rsidRPr="00B26583">
              <w:rPr>
                <w:sz w:val="16"/>
                <w:szCs w:val="16"/>
              </w:rPr>
              <w:t xml:space="preserve">аботку Поручения </w:t>
            </w:r>
            <w:r w:rsidRPr="00B26583">
              <w:rPr>
                <w:sz w:val="16"/>
                <w:szCs w:val="16"/>
              </w:rPr>
              <w:t xml:space="preserve"> на участие в размещении ценных бумаг</w:t>
            </w:r>
          </w:p>
        </w:tc>
        <w:tc>
          <w:tcPr>
            <w:tcW w:w="1862" w:type="pct"/>
          </w:tcPr>
          <w:p w:rsidR="00735EC6" w:rsidRPr="00B26583" w:rsidRDefault="00A42ABF">
            <w:pPr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 xml:space="preserve">1500 руб. за одно </w:t>
            </w:r>
            <w:r w:rsidR="00047EB8" w:rsidRPr="00B26583">
              <w:rPr>
                <w:sz w:val="16"/>
                <w:szCs w:val="16"/>
              </w:rPr>
              <w:t>Поручение</w:t>
            </w:r>
          </w:p>
        </w:tc>
      </w:tr>
      <w:tr w:rsidR="00A42ABF" w:rsidRPr="00B26583" w:rsidTr="00D263B7">
        <w:trPr>
          <w:cantSplit/>
          <w:tblCellSpacing w:w="7" w:type="dxa"/>
        </w:trPr>
        <w:tc>
          <w:tcPr>
            <w:tcW w:w="3117" w:type="pct"/>
          </w:tcPr>
          <w:p w:rsidR="00735EC6" w:rsidRPr="00B26583" w:rsidRDefault="00176A1A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 xml:space="preserve">Комиссия </w:t>
            </w:r>
            <w:r w:rsidR="00A42ABF" w:rsidRPr="00B26583">
              <w:rPr>
                <w:sz w:val="16"/>
                <w:szCs w:val="16"/>
              </w:rPr>
              <w:t xml:space="preserve"> </w:t>
            </w:r>
            <w:r w:rsidRPr="00B26583">
              <w:rPr>
                <w:sz w:val="16"/>
                <w:szCs w:val="16"/>
              </w:rPr>
              <w:t xml:space="preserve">Брокера за совершение </w:t>
            </w:r>
            <w:r w:rsidR="00A42ABF" w:rsidRPr="00B26583">
              <w:rPr>
                <w:sz w:val="16"/>
                <w:szCs w:val="16"/>
              </w:rPr>
              <w:t xml:space="preserve"> сделки по приобретение ценных бумаг в процессе их публичного первичного размещения у эмитента, андеррайтера или </w:t>
            </w:r>
            <w:proofErr w:type="spellStart"/>
            <w:r w:rsidR="00A42ABF" w:rsidRPr="00B26583">
              <w:rPr>
                <w:sz w:val="16"/>
                <w:szCs w:val="16"/>
              </w:rPr>
              <w:t>соандеррайтера</w:t>
            </w:r>
            <w:proofErr w:type="spellEnd"/>
            <w:r w:rsidR="00A42ABF" w:rsidRPr="00B26583">
              <w:rPr>
                <w:sz w:val="16"/>
                <w:szCs w:val="16"/>
              </w:rPr>
              <w:t>, в том числе на торгах Организатора Торговли</w:t>
            </w:r>
          </w:p>
        </w:tc>
        <w:tc>
          <w:tcPr>
            <w:tcW w:w="1862" w:type="pct"/>
          </w:tcPr>
          <w:p w:rsidR="00A42ABF" w:rsidRPr="00B26583" w:rsidRDefault="00542A30" w:rsidP="00FC2FB2">
            <w:pPr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0,1</w:t>
            </w:r>
            <w:r w:rsidR="00813C25" w:rsidRPr="00B26583">
              <w:rPr>
                <w:sz w:val="16"/>
                <w:szCs w:val="16"/>
              </w:rPr>
              <w:t>% от суммы сделки, но не более 5000 руб.</w:t>
            </w:r>
          </w:p>
        </w:tc>
      </w:tr>
      <w:tr w:rsidR="00534CDD" w:rsidRPr="00B26583" w:rsidTr="00D263B7">
        <w:trPr>
          <w:cantSplit/>
          <w:tblCellSpacing w:w="7" w:type="dxa"/>
        </w:trPr>
        <w:tc>
          <w:tcPr>
            <w:tcW w:w="3117" w:type="pct"/>
          </w:tcPr>
          <w:p w:rsidR="00534CDD" w:rsidRPr="00B26583" w:rsidRDefault="00534CDD" w:rsidP="00FC2FB2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 xml:space="preserve">Комиссия Брокера за совершение сделок на торгах </w:t>
            </w:r>
            <w:r w:rsidR="00047EB8" w:rsidRPr="00B26583">
              <w:rPr>
                <w:sz w:val="16"/>
                <w:szCs w:val="16"/>
              </w:rPr>
              <w:t xml:space="preserve"> </w:t>
            </w:r>
            <w:r w:rsidRPr="00B26583">
              <w:rPr>
                <w:sz w:val="16"/>
                <w:szCs w:val="16"/>
              </w:rPr>
              <w:t>ПАО Московская Биржа по приобретению ценных бумаг, допущенных к обращению,   в режиме торгов «Размещение: Аукцион» или «Размещение: Адресные заявки»</w:t>
            </w:r>
            <w:r w:rsidR="00176A1A" w:rsidRPr="00B26583">
              <w:rPr>
                <w:sz w:val="16"/>
                <w:szCs w:val="16"/>
              </w:rPr>
              <w:t xml:space="preserve"> (для Клиентов </w:t>
            </w:r>
            <w:proofErr w:type="spellStart"/>
            <w:r w:rsidR="00176A1A" w:rsidRPr="00B26583">
              <w:rPr>
                <w:sz w:val="16"/>
                <w:szCs w:val="16"/>
              </w:rPr>
              <w:t>Субброкеров</w:t>
            </w:r>
            <w:proofErr w:type="spellEnd"/>
            <w:r w:rsidR="00176A1A" w:rsidRPr="00B26583">
              <w:rPr>
                <w:sz w:val="16"/>
                <w:szCs w:val="16"/>
              </w:rPr>
              <w:t>)</w:t>
            </w:r>
          </w:p>
        </w:tc>
        <w:tc>
          <w:tcPr>
            <w:tcW w:w="1862" w:type="pct"/>
          </w:tcPr>
          <w:p w:rsidR="00534CDD" w:rsidRPr="00B26583" w:rsidRDefault="00542A30" w:rsidP="00FC2FB2">
            <w:pPr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0,1</w:t>
            </w:r>
            <w:r w:rsidR="00534CDD" w:rsidRPr="00B26583">
              <w:rPr>
                <w:sz w:val="16"/>
                <w:szCs w:val="16"/>
              </w:rPr>
              <w:t xml:space="preserve"> % от суммы сделки</w:t>
            </w:r>
            <w:r w:rsidR="00813C25" w:rsidRPr="00B26583">
              <w:rPr>
                <w:sz w:val="16"/>
                <w:szCs w:val="16"/>
              </w:rPr>
              <w:t>, но не более 5000 руб.</w:t>
            </w:r>
          </w:p>
        </w:tc>
      </w:tr>
    </w:tbl>
    <w:p w:rsidR="00761519" w:rsidRPr="00B26583" w:rsidRDefault="00761519">
      <w:pPr>
        <w:jc w:val="both"/>
        <w:rPr>
          <w:b/>
          <w:bCs/>
          <w:sz w:val="18"/>
          <w:szCs w:val="18"/>
        </w:rPr>
      </w:pPr>
    </w:p>
    <w:p w:rsidR="00A56EB0" w:rsidRPr="00B26583" w:rsidRDefault="00A56EB0" w:rsidP="00A56EB0">
      <w:pPr>
        <w:rPr>
          <w:b/>
          <w:bCs/>
          <w:sz w:val="18"/>
          <w:szCs w:val="18"/>
        </w:rPr>
      </w:pPr>
      <w:r w:rsidRPr="00B26583">
        <w:rPr>
          <w:b/>
          <w:bCs/>
          <w:sz w:val="18"/>
          <w:szCs w:val="18"/>
        </w:rPr>
        <w:t>Биржевые и клиринговые сборы.</w:t>
      </w:r>
    </w:p>
    <w:p w:rsidR="00A56EB0" w:rsidRPr="00B26583" w:rsidRDefault="00A56EB0" w:rsidP="00A56EB0">
      <w:pPr>
        <w:jc w:val="both"/>
        <w:rPr>
          <w:sz w:val="16"/>
          <w:szCs w:val="16"/>
        </w:rPr>
      </w:pPr>
    </w:p>
    <w:p w:rsidR="00A56EB0" w:rsidRPr="00B26583" w:rsidRDefault="00A56EB0" w:rsidP="00A56EB0">
      <w:pPr>
        <w:jc w:val="both"/>
        <w:rPr>
          <w:sz w:val="16"/>
          <w:szCs w:val="16"/>
        </w:rPr>
      </w:pPr>
      <w:r w:rsidRPr="00B26583">
        <w:rPr>
          <w:sz w:val="16"/>
          <w:szCs w:val="16"/>
        </w:rPr>
        <w:t>Помимо комиссионного вознаграждения Брокера, Клиент оплачивает биржевой и клиринговый сборы, а также при совершении сделок на срочном ры</w:t>
      </w:r>
      <w:r w:rsidR="0094643A" w:rsidRPr="00B26583">
        <w:rPr>
          <w:sz w:val="16"/>
          <w:szCs w:val="16"/>
        </w:rPr>
        <w:t xml:space="preserve">нке Клиент оплачивает сборы ТС </w:t>
      </w:r>
      <w:r w:rsidRPr="00B26583">
        <w:rPr>
          <w:sz w:val="16"/>
          <w:szCs w:val="16"/>
        </w:rPr>
        <w:t>за открытие и ведение клиентского раздела. С тарифами можн</w:t>
      </w:r>
      <w:r w:rsidR="0094643A" w:rsidRPr="00B26583">
        <w:rPr>
          <w:sz w:val="16"/>
          <w:szCs w:val="16"/>
        </w:rPr>
        <w:t xml:space="preserve">о ознакомиться на сайте </w:t>
      </w:r>
      <w:r w:rsidR="008A5428" w:rsidRPr="00B26583">
        <w:rPr>
          <w:sz w:val="16"/>
          <w:szCs w:val="16"/>
        </w:rPr>
        <w:t>ТС</w:t>
      </w:r>
      <w:r w:rsidR="0094643A" w:rsidRPr="00B26583">
        <w:rPr>
          <w:sz w:val="16"/>
          <w:szCs w:val="16"/>
        </w:rPr>
        <w:t xml:space="preserve">: </w:t>
      </w:r>
      <w:hyperlink r:id="rId9" w:history="1">
        <w:r w:rsidR="008A5428" w:rsidRPr="00B26583">
          <w:rPr>
            <w:rStyle w:val="a6"/>
            <w:sz w:val="16"/>
            <w:szCs w:val="16"/>
          </w:rPr>
          <w:t>http</w:t>
        </w:r>
        <w:r w:rsidR="008A5428" w:rsidRPr="00B26583">
          <w:rPr>
            <w:rStyle w:val="a6"/>
            <w:sz w:val="16"/>
            <w:szCs w:val="16"/>
            <w:lang w:val="en-US"/>
          </w:rPr>
          <w:t>s</w:t>
        </w:r>
        <w:r w:rsidR="008A5428" w:rsidRPr="00B26583">
          <w:rPr>
            <w:rStyle w:val="a6"/>
            <w:sz w:val="16"/>
            <w:szCs w:val="16"/>
          </w:rPr>
          <w:t>://moex.com/</w:t>
        </w:r>
      </w:hyperlink>
      <w:r w:rsidR="008A5428" w:rsidRPr="00B26583">
        <w:rPr>
          <w:sz w:val="16"/>
          <w:szCs w:val="16"/>
        </w:rPr>
        <w:t>, https://www.nationalclearingcentre.ru</w:t>
      </w:r>
    </w:p>
    <w:p w:rsidR="00A41C44" w:rsidRPr="00B26583" w:rsidRDefault="00A41C44" w:rsidP="00F50B44">
      <w:pPr>
        <w:rPr>
          <w:b/>
          <w:bCs/>
          <w:sz w:val="18"/>
          <w:szCs w:val="18"/>
        </w:rPr>
      </w:pPr>
    </w:p>
    <w:p w:rsidR="00BD3BE0" w:rsidRPr="00B26583" w:rsidRDefault="00BD3BE0" w:rsidP="00F50B44">
      <w:pPr>
        <w:rPr>
          <w:b/>
          <w:bCs/>
          <w:sz w:val="18"/>
          <w:szCs w:val="18"/>
        </w:rPr>
      </w:pPr>
    </w:p>
    <w:p w:rsidR="00A56EB0" w:rsidRPr="00B26583" w:rsidRDefault="00A56EB0" w:rsidP="00F50B44">
      <w:pPr>
        <w:rPr>
          <w:b/>
          <w:bCs/>
          <w:sz w:val="18"/>
          <w:szCs w:val="18"/>
        </w:rPr>
      </w:pPr>
      <w:r w:rsidRPr="00B26583">
        <w:rPr>
          <w:b/>
          <w:bCs/>
          <w:sz w:val="18"/>
          <w:szCs w:val="18"/>
        </w:rPr>
        <w:t>Прочие услуги</w:t>
      </w:r>
      <w:r w:rsidR="003A2727" w:rsidRPr="00B26583">
        <w:rPr>
          <w:b/>
          <w:bCs/>
          <w:sz w:val="18"/>
          <w:szCs w:val="18"/>
        </w:rPr>
        <w:t xml:space="preserve"> Брокера</w:t>
      </w:r>
      <w:r w:rsidRPr="00B26583">
        <w:rPr>
          <w:b/>
          <w:bCs/>
          <w:sz w:val="18"/>
          <w:szCs w:val="18"/>
        </w:rPr>
        <w:t xml:space="preserve">, </w:t>
      </w:r>
      <w:r w:rsidR="003A2727" w:rsidRPr="00B26583">
        <w:rPr>
          <w:b/>
          <w:bCs/>
          <w:sz w:val="18"/>
          <w:szCs w:val="18"/>
        </w:rPr>
        <w:t xml:space="preserve">непосредственно </w:t>
      </w:r>
      <w:r w:rsidRPr="00B26583">
        <w:rPr>
          <w:b/>
          <w:bCs/>
          <w:sz w:val="18"/>
          <w:szCs w:val="18"/>
        </w:rPr>
        <w:t>связанные с оказанием брокерских услуг на рынке ценных бумаг и срочном рынке.</w:t>
      </w:r>
    </w:p>
    <w:p w:rsidR="007B0440" w:rsidRPr="00B26583" w:rsidRDefault="007B0440" w:rsidP="00D165F4">
      <w:pPr>
        <w:jc w:val="both"/>
        <w:rPr>
          <w:sz w:val="16"/>
          <w:szCs w:val="16"/>
        </w:rPr>
      </w:pPr>
    </w:p>
    <w:tbl>
      <w:tblPr>
        <w:tblW w:w="5000" w:type="pct"/>
        <w:tblCellSpacing w:w="7" w:type="dxa"/>
        <w:tblInd w:w="-8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200" w:firstRow="0" w:lastRow="0" w:firstColumn="0" w:lastColumn="0" w:noHBand="1" w:noVBand="0"/>
      </w:tblPr>
      <w:tblGrid>
        <w:gridCol w:w="76"/>
        <w:gridCol w:w="4252"/>
        <w:gridCol w:w="5436"/>
      </w:tblGrid>
      <w:tr w:rsidR="007B0440" w:rsidRPr="00B26583" w:rsidTr="00A835F1">
        <w:trPr>
          <w:gridBefore w:val="1"/>
          <w:wBefore w:w="55" w:type="dxa"/>
          <w:tblCellSpacing w:w="7" w:type="dxa"/>
        </w:trPr>
        <w:tc>
          <w:tcPr>
            <w:tcW w:w="423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19E6" w:rsidRPr="00B26583" w:rsidRDefault="00953F45">
            <w:pPr>
              <w:jc w:val="center"/>
              <w:rPr>
                <w:b/>
                <w:sz w:val="16"/>
                <w:szCs w:val="16"/>
              </w:rPr>
            </w:pPr>
            <w:r w:rsidRPr="00B26583">
              <w:rPr>
                <w:b/>
                <w:sz w:val="16"/>
                <w:szCs w:val="16"/>
              </w:rPr>
              <w:t>Наименование услуги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619E6" w:rsidRPr="00B26583" w:rsidRDefault="00953F45">
            <w:pPr>
              <w:jc w:val="center"/>
              <w:rPr>
                <w:b/>
                <w:sz w:val="16"/>
                <w:szCs w:val="16"/>
              </w:rPr>
            </w:pPr>
            <w:r w:rsidRPr="00B26583">
              <w:rPr>
                <w:b/>
                <w:sz w:val="16"/>
                <w:szCs w:val="16"/>
              </w:rPr>
              <w:t>Тариф</w:t>
            </w:r>
            <w:r w:rsidR="007B0440" w:rsidRPr="00B26583">
              <w:rPr>
                <w:b/>
                <w:sz w:val="16"/>
                <w:szCs w:val="16"/>
              </w:rPr>
              <w:t xml:space="preserve"> (вознаграждение Брокера)</w:t>
            </w:r>
            <w:r w:rsidRPr="00B26583">
              <w:rPr>
                <w:b/>
                <w:sz w:val="16"/>
                <w:szCs w:val="16"/>
              </w:rPr>
              <w:t xml:space="preserve"> в рублях.</w:t>
            </w:r>
            <w:r w:rsidR="007B0440" w:rsidRPr="00B26583">
              <w:rPr>
                <w:b/>
                <w:sz w:val="16"/>
                <w:szCs w:val="16"/>
              </w:rPr>
              <w:t xml:space="preserve"> </w:t>
            </w:r>
            <w:r w:rsidR="007B0440" w:rsidRPr="00B26583">
              <w:rPr>
                <w:sz w:val="16"/>
                <w:szCs w:val="16"/>
              </w:rPr>
              <w:t>НДС не облагается в соответствии со Ст.149 НК РФ.</w:t>
            </w:r>
          </w:p>
        </w:tc>
      </w:tr>
      <w:tr w:rsidR="006B2DE7" w:rsidRPr="00B26583" w:rsidTr="00A835F1">
        <w:trPr>
          <w:gridBefore w:val="1"/>
          <w:wBefore w:w="55" w:type="dxa"/>
          <w:tblCellSpacing w:w="7" w:type="dxa"/>
        </w:trPr>
        <w:tc>
          <w:tcPr>
            <w:tcW w:w="423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2DE7" w:rsidRPr="00B26583" w:rsidRDefault="006B2DE7" w:rsidP="007B044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Депозитарное обслуживание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C5C3E" w:rsidRPr="00B26583" w:rsidRDefault="00EC5C3E" w:rsidP="00EC5C3E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По согласованию сторон (на основании Депозитарного договора и/или Договора о разграничении полномочий попечителя счета депо и депозитария).</w:t>
            </w:r>
          </w:p>
          <w:p w:rsidR="005543C8" w:rsidRPr="00B26583" w:rsidRDefault="005543C8" w:rsidP="00EC5C3E">
            <w:pPr>
              <w:rPr>
                <w:sz w:val="16"/>
                <w:szCs w:val="16"/>
              </w:rPr>
            </w:pPr>
          </w:p>
          <w:p w:rsidR="00EC5C3E" w:rsidRPr="00B26583" w:rsidRDefault="00EC5C3E" w:rsidP="00EC5C3E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С тарифами депозитария ПАО «ИК РУСС-ИНВЕСТ» можно ознакомиться на сайте:</w:t>
            </w:r>
          </w:p>
          <w:p w:rsidR="006B2DE7" w:rsidRPr="00B26583" w:rsidRDefault="00B306AF" w:rsidP="007B0440">
            <w:hyperlink r:id="rId10" w:history="1">
              <w:r w:rsidR="00EC5C3E" w:rsidRPr="00B26583">
                <w:rPr>
                  <w:sz w:val="16"/>
                  <w:szCs w:val="16"/>
                </w:rPr>
                <w:t>https://www.russ-invest.com/investment/depositarium/tariffs/</w:t>
              </w:r>
            </w:hyperlink>
          </w:p>
        </w:tc>
      </w:tr>
      <w:tr w:rsidR="007B0440" w:rsidRPr="00B26583" w:rsidTr="00A835F1">
        <w:trPr>
          <w:gridBefore w:val="1"/>
          <w:wBefore w:w="55" w:type="dxa"/>
          <w:tblCellSpacing w:w="7" w:type="dxa"/>
        </w:trPr>
        <w:tc>
          <w:tcPr>
            <w:tcW w:w="423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0440" w:rsidRPr="00B26583" w:rsidRDefault="007B0440" w:rsidP="007B044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 xml:space="preserve">Подключение ИТС </w:t>
            </w:r>
            <w:r w:rsidRPr="00B26583">
              <w:rPr>
                <w:sz w:val="16"/>
                <w:szCs w:val="16"/>
                <w:lang w:val="en-US"/>
              </w:rPr>
              <w:t>QUIK</w:t>
            </w:r>
          </w:p>
          <w:p w:rsidR="007B0440" w:rsidRPr="00B26583" w:rsidRDefault="007B0440" w:rsidP="009F3122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(второй доступ и более</w:t>
            </w:r>
            <w:r w:rsidR="009F3122">
              <w:rPr>
                <w:sz w:val="16"/>
                <w:szCs w:val="16"/>
              </w:rPr>
              <w:t>, единовременно</w:t>
            </w:r>
            <w:r w:rsidRPr="00B26583">
              <w:rPr>
                <w:sz w:val="16"/>
                <w:szCs w:val="16"/>
              </w:rPr>
              <w:t>)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F3122" w:rsidRPr="00C16AFD" w:rsidRDefault="00D62604" w:rsidP="009F31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1 000 руб.</w:t>
            </w:r>
          </w:p>
          <w:p w:rsidR="007B0440" w:rsidRPr="00B26583" w:rsidRDefault="007B0440" w:rsidP="007B0440">
            <w:pPr>
              <w:rPr>
                <w:sz w:val="16"/>
                <w:szCs w:val="16"/>
              </w:rPr>
            </w:pPr>
          </w:p>
        </w:tc>
      </w:tr>
      <w:tr w:rsidR="007B0440" w:rsidRPr="00B26583" w:rsidTr="00A835F1">
        <w:trPr>
          <w:gridBefore w:val="1"/>
          <w:wBefore w:w="55" w:type="dxa"/>
          <w:tblCellSpacing w:w="7" w:type="dxa"/>
        </w:trPr>
        <w:tc>
          <w:tcPr>
            <w:tcW w:w="423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0440" w:rsidRPr="00B26583" w:rsidRDefault="007B0440" w:rsidP="007B044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 xml:space="preserve">Подключение </w:t>
            </w:r>
            <w:proofErr w:type="spellStart"/>
            <w:r w:rsidRPr="00B26583">
              <w:rPr>
                <w:sz w:val="16"/>
                <w:szCs w:val="16"/>
                <w:lang w:val="en-US"/>
              </w:rPr>
              <w:t>iQUIK</w:t>
            </w:r>
            <w:proofErr w:type="spellEnd"/>
            <w:r w:rsidRPr="00B26583">
              <w:rPr>
                <w:sz w:val="16"/>
                <w:szCs w:val="16"/>
              </w:rPr>
              <w:t xml:space="preserve">, QUIK </w:t>
            </w:r>
            <w:proofErr w:type="spellStart"/>
            <w:r w:rsidRPr="00B26583">
              <w:rPr>
                <w:sz w:val="16"/>
                <w:szCs w:val="16"/>
              </w:rPr>
              <w:t>Android</w:t>
            </w:r>
            <w:proofErr w:type="spellEnd"/>
            <w:r w:rsidRPr="00B26583">
              <w:rPr>
                <w:sz w:val="16"/>
                <w:szCs w:val="16"/>
              </w:rPr>
              <w:t xml:space="preserve"> </w:t>
            </w:r>
            <w:r w:rsidR="009F3122">
              <w:rPr>
                <w:sz w:val="16"/>
                <w:szCs w:val="16"/>
              </w:rPr>
              <w:t>(единовременно)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F3122" w:rsidRPr="00C16AFD" w:rsidRDefault="00D62604" w:rsidP="009F31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2 900 руб.</w:t>
            </w:r>
          </w:p>
          <w:p w:rsidR="007B0440" w:rsidRPr="00B26583" w:rsidRDefault="007B0440" w:rsidP="007B0440">
            <w:pPr>
              <w:rPr>
                <w:sz w:val="16"/>
                <w:szCs w:val="16"/>
              </w:rPr>
            </w:pPr>
          </w:p>
        </w:tc>
      </w:tr>
      <w:tr w:rsidR="007B0440" w:rsidRPr="00B26583" w:rsidTr="00A835F1">
        <w:trPr>
          <w:gridBefore w:val="1"/>
          <w:wBefore w:w="55" w:type="dxa"/>
          <w:tblCellSpacing w:w="7" w:type="dxa"/>
        </w:trPr>
        <w:tc>
          <w:tcPr>
            <w:tcW w:w="423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0440" w:rsidRPr="009F3122" w:rsidRDefault="007B0440" w:rsidP="007B044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 xml:space="preserve">Плата за автоматизированный доступ к торгам через мобильные устройства </w:t>
            </w:r>
            <w:proofErr w:type="spellStart"/>
            <w:r w:rsidRPr="00B26583">
              <w:rPr>
                <w:sz w:val="16"/>
                <w:szCs w:val="16"/>
                <w:lang w:val="en-US"/>
              </w:rPr>
              <w:t>iQUIK</w:t>
            </w:r>
            <w:proofErr w:type="spellEnd"/>
            <w:r w:rsidRPr="00B26583">
              <w:rPr>
                <w:sz w:val="16"/>
                <w:szCs w:val="16"/>
              </w:rPr>
              <w:t xml:space="preserve">, QUIK </w:t>
            </w:r>
            <w:proofErr w:type="spellStart"/>
            <w:r w:rsidRPr="00B26583">
              <w:rPr>
                <w:sz w:val="16"/>
                <w:szCs w:val="16"/>
              </w:rPr>
              <w:t>Android</w:t>
            </w:r>
            <w:proofErr w:type="spellEnd"/>
            <w:r w:rsidRPr="00B26583">
              <w:rPr>
                <w:sz w:val="16"/>
                <w:szCs w:val="16"/>
              </w:rPr>
              <w:t xml:space="preserve"> </w:t>
            </w:r>
            <w:r w:rsidR="009F3122" w:rsidRPr="00A835F1">
              <w:rPr>
                <w:sz w:val="16"/>
                <w:szCs w:val="16"/>
              </w:rPr>
              <w:t>(</w:t>
            </w:r>
            <w:r w:rsidR="009F3122">
              <w:rPr>
                <w:sz w:val="16"/>
                <w:szCs w:val="16"/>
              </w:rPr>
              <w:t>абонентское обслуживание)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62604" w:rsidRDefault="00D62604" w:rsidP="000D668D">
            <w:pPr>
              <w:rPr>
                <w:sz w:val="16"/>
                <w:szCs w:val="16"/>
              </w:rPr>
            </w:pPr>
          </w:p>
          <w:p w:rsidR="007B0440" w:rsidRDefault="006B21BB" w:rsidP="00C16AFD">
            <w:pPr>
              <w:rPr>
                <w:sz w:val="18"/>
                <w:szCs w:val="18"/>
              </w:rPr>
            </w:pPr>
            <w:bookmarkStart w:id="0" w:name="_GoBack"/>
            <w:r>
              <w:rPr>
                <w:sz w:val="16"/>
                <w:szCs w:val="16"/>
              </w:rPr>
              <w:t>624</w:t>
            </w:r>
            <w:r w:rsidRPr="00B26583">
              <w:rPr>
                <w:sz w:val="16"/>
                <w:szCs w:val="16"/>
              </w:rPr>
              <w:t xml:space="preserve"> </w:t>
            </w:r>
            <w:bookmarkEnd w:id="0"/>
            <w:r w:rsidR="00D62604" w:rsidRPr="00B26583">
              <w:rPr>
                <w:sz w:val="16"/>
                <w:szCs w:val="16"/>
              </w:rPr>
              <w:t>руб. в месяц</w:t>
            </w:r>
            <w:r w:rsidR="00D62604" w:rsidRPr="00B26583">
              <w:rPr>
                <w:sz w:val="18"/>
                <w:szCs w:val="18"/>
              </w:rPr>
              <w:t xml:space="preserve"> (плата взимается за полный месяц вне зависимости от количества дней фактического использования)</w:t>
            </w:r>
          </w:p>
          <w:p w:rsidR="00315C5A" w:rsidRPr="00B26583" w:rsidRDefault="00315C5A" w:rsidP="00C16AFD">
            <w:pPr>
              <w:rPr>
                <w:sz w:val="16"/>
                <w:szCs w:val="16"/>
              </w:rPr>
            </w:pPr>
          </w:p>
        </w:tc>
      </w:tr>
      <w:tr w:rsidR="002C73C9" w:rsidRPr="00B26583" w:rsidTr="00A835F1">
        <w:trPr>
          <w:gridBefore w:val="1"/>
          <w:wBefore w:w="55" w:type="dxa"/>
          <w:tblCellSpacing w:w="7" w:type="dxa"/>
        </w:trPr>
        <w:tc>
          <w:tcPr>
            <w:tcW w:w="423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73C9" w:rsidRPr="00B26583" w:rsidRDefault="002C73C9" w:rsidP="007B044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Открытие и ведение отдельного ТКС на рынках</w:t>
            </w:r>
            <w:r w:rsidR="00F531AA" w:rsidRPr="00B26583">
              <w:rPr>
                <w:sz w:val="16"/>
                <w:szCs w:val="16"/>
              </w:rPr>
              <w:t xml:space="preserve"> </w:t>
            </w:r>
            <w:r w:rsidRPr="00B26583">
              <w:rPr>
                <w:sz w:val="16"/>
                <w:szCs w:val="16"/>
              </w:rPr>
              <w:t xml:space="preserve"> ПАО Московская Биржа</w:t>
            </w:r>
            <w:r w:rsidR="00FB5281" w:rsidRPr="00B26583">
              <w:rPr>
                <w:sz w:val="16"/>
                <w:szCs w:val="16"/>
              </w:rPr>
              <w:t>*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C73C9" w:rsidRPr="00B26583" w:rsidRDefault="00FB5281" w:rsidP="007B044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Не взимается</w:t>
            </w:r>
          </w:p>
        </w:tc>
      </w:tr>
      <w:tr w:rsidR="002C73C9" w:rsidRPr="00B26583" w:rsidTr="00A835F1">
        <w:trPr>
          <w:gridBefore w:val="1"/>
          <w:wBefore w:w="55" w:type="dxa"/>
          <w:tblCellSpacing w:w="7" w:type="dxa"/>
        </w:trPr>
        <w:tc>
          <w:tcPr>
            <w:tcW w:w="423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400F" w:rsidRPr="00B26583" w:rsidRDefault="00F531AA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Открытие Расчетного кода на рынках  ПАО Московская Биржа</w:t>
            </w:r>
            <w:r w:rsidR="00FB5281" w:rsidRPr="00B26583">
              <w:rPr>
                <w:sz w:val="16"/>
                <w:szCs w:val="16"/>
              </w:rPr>
              <w:t xml:space="preserve"> *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C73C9" w:rsidRPr="00B26583" w:rsidRDefault="00FB5281" w:rsidP="007B044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Не взимается</w:t>
            </w:r>
          </w:p>
        </w:tc>
      </w:tr>
      <w:tr w:rsidR="00AA7AA5" w:rsidRPr="00B26583" w:rsidTr="00A835F1">
        <w:trPr>
          <w:gridBefore w:val="1"/>
          <w:wBefore w:w="55" w:type="dxa"/>
          <w:tblCellSpacing w:w="7" w:type="dxa"/>
        </w:trPr>
        <w:tc>
          <w:tcPr>
            <w:tcW w:w="423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AA5" w:rsidRPr="00B26583" w:rsidRDefault="00AA7AA5" w:rsidP="00A1709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Комиссия Брокера за услуги по обработке заявления Клиента на открытие сегрегированного счета на фондовом, срочном, валютном рынках  ПАО Московская Биржа</w:t>
            </w:r>
            <w:r w:rsidR="00C1736F" w:rsidRPr="00B26583">
              <w:rPr>
                <w:sz w:val="16"/>
                <w:szCs w:val="16"/>
              </w:rPr>
              <w:t>*</w:t>
            </w:r>
            <w:r w:rsidRPr="00B26583">
              <w:rPr>
                <w:sz w:val="16"/>
                <w:szCs w:val="16"/>
              </w:rPr>
              <w:t xml:space="preserve"> 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A7AA5" w:rsidRPr="00B26583" w:rsidRDefault="00AA7AA5" w:rsidP="004E727F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5000 руб.</w:t>
            </w:r>
            <w:r w:rsidR="00507A15" w:rsidRPr="00B26583">
              <w:rPr>
                <w:sz w:val="16"/>
                <w:szCs w:val="16"/>
              </w:rPr>
              <w:t xml:space="preserve"> за каждый рынок</w:t>
            </w:r>
          </w:p>
        </w:tc>
      </w:tr>
      <w:tr w:rsidR="00516CFB" w:rsidRPr="00B26583" w:rsidTr="00A835F1">
        <w:trPr>
          <w:gridBefore w:val="1"/>
          <w:wBefore w:w="55" w:type="dxa"/>
          <w:tblCellSpacing w:w="7" w:type="dxa"/>
        </w:trPr>
        <w:tc>
          <w:tcPr>
            <w:tcW w:w="423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6CFB" w:rsidRPr="00B26583" w:rsidRDefault="009D6ED9" w:rsidP="00A1709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Обосо</w:t>
            </w:r>
            <w:r w:rsidR="00E41851" w:rsidRPr="00B26583">
              <w:rPr>
                <w:sz w:val="16"/>
                <w:szCs w:val="16"/>
              </w:rPr>
              <w:t xml:space="preserve">бленный учет имущества Клиента на </w:t>
            </w:r>
            <w:r w:rsidRPr="00B26583">
              <w:rPr>
                <w:sz w:val="16"/>
                <w:szCs w:val="16"/>
              </w:rPr>
              <w:t>сегрегированн</w:t>
            </w:r>
            <w:r w:rsidR="00E41851" w:rsidRPr="00B26583">
              <w:rPr>
                <w:sz w:val="16"/>
                <w:szCs w:val="16"/>
              </w:rPr>
              <w:t>ом</w:t>
            </w:r>
            <w:r w:rsidRPr="00B26583">
              <w:rPr>
                <w:sz w:val="16"/>
                <w:szCs w:val="16"/>
              </w:rPr>
              <w:t xml:space="preserve"> счет</w:t>
            </w:r>
            <w:r w:rsidR="00E41851" w:rsidRPr="00B26583">
              <w:rPr>
                <w:sz w:val="16"/>
                <w:szCs w:val="16"/>
              </w:rPr>
              <w:t>е</w:t>
            </w:r>
            <w:r w:rsidRPr="00B26583">
              <w:rPr>
                <w:sz w:val="16"/>
                <w:szCs w:val="16"/>
              </w:rPr>
              <w:t xml:space="preserve"> на фондовом, срочном, валютном рынках ПАО Московская Биржа</w:t>
            </w:r>
            <w:r w:rsidR="00C1736F" w:rsidRPr="00B26583">
              <w:rPr>
                <w:sz w:val="16"/>
                <w:szCs w:val="16"/>
              </w:rPr>
              <w:t>*</w:t>
            </w:r>
            <w:r w:rsidRPr="00B26583">
              <w:rPr>
                <w:sz w:val="16"/>
                <w:szCs w:val="16"/>
              </w:rPr>
              <w:t xml:space="preserve"> 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16CFB" w:rsidRPr="00B26583" w:rsidRDefault="00A17090" w:rsidP="00AA7AA5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 xml:space="preserve">10 </w:t>
            </w:r>
            <w:r w:rsidR="009D6ED9" w:rsidRPr="00B26583">
              <w:rPr>
                <w:sz w:val="16"/>
                <w:szCs w:val="16"/>
              </w:rPr>
              <w:t>000 руб</w:t>
            </w:r>
            <w:r w:rsidR="00AA7AA5" w:rsidRPr="00B26583">
              <w:rPr>
                <w:sz w:val="16"/>
                <w:szCs w:val="16"/>
              </w:rPr>
              <w:t>.</w:t>
            </w:r>
            <w:r w:rsidR="009D6ED9" w:rsidRPr="00B26583">
              <w:rPr>
                <w:sz w:val="16"/>
                <w:szCs w:val="16"/>
              </w:rPr>
              <w:t xml:space="preserve"> в месяц за каждый рынок</w:t>
            </w:r>
          </w:p>
        </w:tc>
      </w:tr>
      <w:tr w:rsidR="007B0440" w:rsidRPr="00B26583" w:rsidTr="00A835F1">
        <w:trPr>
          <w:gridBefore w:val="1"/>
          <w:wBefore w:w="55" w:type="dxa"/>
          <w:tblCellSpacing w:w="7" w:type="dxa"/>
        </w:trPr>
        <w:tc>
          <w:tcPr>
            <w:tcW w:w="423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0440" w:rsidRPr="00B26583" w:rsidRDefault="007B0440" w:rsidP="007B044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Комиссия Брокера за услуги по  обработке заявления Клиента на открытие отдельного специального брокерского счета (не включая комиссию кредитной организации за открытие такого счета)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B0440" w:rsidRPr="00B26583" w:rsidRDefault="007B0440" w:rsidP="007B044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5000 руб.</w:t>
            </w:r>
          </w:p>
        </w:tc>
      </w:tr>
      <w:tr w:rsidR="007B0440" w:rsidRPr="00B26583" w:rsidTr="00A835F1">
        <w:trPr>
          <w:gridBefore w:val="1"/>
          <w:wBefore w:w="55" w:type="dxa"/>
          <w:tblCellSpacing w:w="7" w:type="dxa"/>
        </w:trPr>
        <w:tc>
          <w:tcPr>
            <w:tcW w:w="423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48EE" w:rsidRPr="00B26583" w:rsidRDefault="007B044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Комиссия Брокера за услуги по обработке поручений (документов)  Клиента в случае ведения отдельного специального брокерского счета, открытого по заявлению Клиента (включая комиссию кредитной организации за обслуживание такого счета)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B0440" w:rsidRPr="00B26583" w:rsidRDefault="007B0440" w:rsidP="007B044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10 000 руб. в месяц</w:t>
            </w:r>
          </w:p>
        </w:tc>
      </w:tr>
      <w:tr w:rsidR="00346AF7" w:rsidRPr="00B26583" w:rsidTr="00A835F1">
        <w:trPr>
          <w:gridBefore w:val="1"/>
          <w:wBefore w:w="55" w:type="dxa"/>
          <w:tblCellSpacing w:w="7" w:type="dxa"/>
        </w:trPr>
        <w:tc>
          <w:tcPr>
            <w:tcW w:w="423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400F" w:rsidRPr="00B26583" w:rsidRDefault="00346AF7" w:rsidP="004A6E8B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Комиссия</w:t>
            </w:r>
            <w:r w:rsidR="002C73C9" w:rsidRPr="00B26583">
              <w:rPr>
                <w:sz w:val="16"/>
                <w:szCs w:val="16"/>
              </w:rPr>
              <w:t xml:space="preserve"> </w:t>
            </w:r>
            <w:r w:rsidRPr="00B26583">
              <w:rPr>
                <w:sz w:val="16"/>
                <w:szCs w:val="16"/>
              </w:rPr>
              <w:t xml:space="preserve"> </w:t>
            </w:r>
            <w:r w:rsidR="004A6E8B" w:rsidRPr="00B26583">
              <w:rPr>
                <w:sz w:val="16"/>
                <w:szCs w:val="16"/>
              </w:rPr>
              <w:t>Б</w:t>
            </w:r>
            <w:r w:rsidRPr="00B26583">
              <w:rPr>
                <w:sz w:val="16"/>
                <w:szCs w:val="16"/>
              </w:rPr>
              <w:t xml:space="preserve">рокера за услуги по </w:t>
            </w:r>
            <w:r w:rsidR="0002774C" w:rsidRPr="00B26583">
              <w:rPr>
                <w:sz w:val="16"/>
                <w:szCs w:val="16"/>
              </w:rPr>
              <w:t>ведению учета</w:t>
            </w:r>
            <w:r w:rsidR="00930E39" w:rsidRPr="00B26583">
              <w:rPr>
                <w:sz w:val="16"/>
                <w:szCs w:val="16"/>
              </w:rPr>
              <w:t xml:space="preserve"> операций</w:t>
            </w:r>
            <w:r w:rsidR="0002774C" w:rsidRPr="00B26583">
              <w:rPr>
                <w:sz w:val="16"/>
                <w:szCs w:val="16"/>
              </w:rPr>
              <w:t xml:space="preserve">, </w:t>
            </w:r>
            <w:r w:rsidR="00930E39" w:rsidRPr="00B26583">
              <w:rPr>
                <w:sz w:val="16"/>
                <w:szCs w:val="16"/>
              </w:rPr>
              <w:t xml:space="preserve"> денежных средств и /или ценных бумаг </w:t>
            </w:r>
            <w:r w:rsidRPr="00B26583">
              <w:rPr>
                <w:sz w:val="16"/>
                <w:szCs w:val="16"/>
              </w:rPr>
              <w:t>обработке</w:t>
            </w:r>
            <w:r w:rsidR="00930E39" w:rsidRPr="00B26583">
              <w:rPr>
                <w:sz w:val="16"/>
                <w:szCs w:val="16"/>
              </w:rPr>
              <w:t xml:space="preserve"> Неторговых </w:t>
            </w:r>
            <w:r w:rsidRPr="00B26583">
              <w:rPr>
                <w:sz w:val="16"/>
                <w:szCs w:val="16"/>
              </w:rPr>
              <w:t xml:space="preserve"> поручений (документов)</w:t>
            </w:r>
            <w:r w:rsidR="00930E39" w:rsidRPr="00B26583">
              <w:rPr>
                <w:sz w:val="16"/>
                <w:szCs w:val="16"/>
              </w:rPr>
              <w:t>, предоставление отчетности  Клиенту</w:t>
            </w:r>
            <w:r w:rsidRPr="00B26583">
              <w:rPr>
                <w:sz w:val="16"/>
                <w:szCs w:val="16"/>
              </w:rPr>
              <w:t xml:space="preserve"> Субброкер</w:t>
            </w:r>
            <w:r w:rsidR="00930E39" w:rsidRPr="00B26583">
              <w:rPr>
                <w:sz w:val="16"/>
                <w:szCs w:val="16"/>
              </w:rPr>
              <w:t>у</w:t>
            </w:r>
            <w:r w:rsidR="00B547C6" w:rsidRPr="00B26583">
              <w:rPr>
                <w:sz w:val="16"/>
                <w:szCs w:val="16"/>
              </w:rPr>
              <w:t xml:space="preserve"> раздельно по кодам/торговым кодам/</w:t>
            </w:r>
            <w:r w:rsidR="0002774C" w:rsidRPr="00B26583">
              <w:rPr>
                <w:sz w:val="16"/>
                <w:szCs w:val="16"/>
              </w:rPr>
              <w:t xml:space="preserve"> по клиентам  Субброкера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46AF7" w:rsidRPr="00B26583" w:rsidRDefault="00346AF7" w:rsidP="007B044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По согласованию сторон (на основании дополнительного соглашения)</w:t>
            </w:r>
          </w:p>
        </w:tc>
      </w:tr>
      <w:tr w:rsidR="007B0440" w:rsidRPr="00B26583" w:rsidTr="00A835F1">
        <w:trPr>
          <w:gridBefore w:val="1"/>
          <w:wBefore w:w="55" w:type="dxa"/>
          <w:tblCellSpacing w:w="7" w:type="dxa"/>
        </w:trPr>
        <w:tc>
          <w:tcPr>
            <w:tcW w:w="423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0440" w:rsidRPr="00B26583" w:rsidRDefault="007B0440" w:rsidP="007B044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Оплата услуг Оператора, оказываемых Клиенту (депоненту) согласно Договору о назначении Оператора торговых разделов счета депо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B0440" w:rsidRPr="00B26583" w:rsidRDefault="0094643A" w:rsidP="007B044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Включена в Тариф</w:t>
            </w:r>
            <w:r w:rsidR="007B0440" w:rsidRPr="00B26583">
              <w:rPr>
                <w:sz w:val="16"/>
                <w:szCs w:val="16"/>
              </w:rPr>
              <w:t xml:space="preserve"> за брокерское обслуживание, принятый Клиентом в соответствии с данным Регламентом. </w:t>
            </w:r>
          </w:p>
        </w:tc>
      </w:tr>
      <w:tr w:rsidR="007B0440" w:rsidRPr="00B26583" w:rsidTr="00A835F1">
        <w:trPr>
          <w:gridBefore w:val="1"/>
          <w:wBefore w:w="55" w:type="dxa"/>
          <w:tblCellSpacing w:w="7" w:type="dxa"/>
        </w:trPr>
        <w:tc>
          <w:tcPr>
            <w:tcW w:w="423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0440" w:rsidRPr="00B26583" w:rsidRDefault="007B0440" w:rsidP="007B044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 xml:space="preserve">Оплата услуг Компании, оказываемых Клиенту – </w:t>
            </w:r>
            <w:proofErr w:type="spellStart"/>
            <w:r w:rsidRPr="00B26583">
              <w:rPr>
                <w:sz w:val="16"/>
                <w:szCs w:val="16"/>
              </w:rPr>
              <w:t>субброкеру</w:t>
            </w:r>
            <w:proofErr w:type="spellEnd"/>
            <w:r w:rsidRPr="00B26583">
              <w:rPr>
                <w:sz w:val="16"/>
                <w:szCs w:val="16"/>
              </w:rPr>
              <w:t xml:space="preserve"> согласно Правилам электронного документооборота ПАО «ИК РУСС-ИНВЕСТ»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B0440" w:rsidRPr="00B26583" w:rsidRDefault="007B0440" w:rsidP="007B044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Включена в Тариф  за брокерское обслуживание, принятый Клиентом в соответствии с данным Регламентом.</w:t>
            </w:r>
          </w:p>
        </w:tc>
      </w:tr>
      <w:tr w:rsidR="00A835F1" w:rsidRPr="00B26583" w:rsidTr="00A835F1">
        <w:trPr>
          <w:gridBefore w:val="1"/>
          <w:wBefore w:w="55" w:type="dxa"/>
          <w:tblCellSpacing w:w="7" w:type="dxa"/>
        </w:trPr>
        <w:tc>
          <w:tcPr>
            <w:tcW w:w="423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5F1" w:rsidRDefault="00A835F1" w:rsidP="007B0440">
            <w:pPr>
              <w:rPr>
                <w:sz w:val="16"/>
                <w:szCs w:val="16"/>
              </w:rPr>
            </w:pPr>
          </w:p>
          <w:p w:rsidR="00A835F1" w:rsidRPr="00B26583" w:rsidRDefault="00A835F1" w:rsidP="007B0440">
            <w:pPr>
              <w:rPr>
                <w:sz w:val="16"/>
                <w:szCs w:val="16"/>
              </w:rPr>
            </w:pP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835F1" w:rsidRPr="00B26583" w:rsidRDefault="00A835F1" w:rsidP="007B0440">
            <w:pPr>
              <w:rPr>
                <w:sz w:val="16"/>
                <w:szCs w:val="16"/>
              </w:rPr>
            </w:pPr>
          </w:p>
        </w:tc>
      </w:tr>
      <w:tr w:rsidR="008A5428" w:rsidRPr="00B26583" w:rsidTr="00A835F1">
        <w:tblPrEx>
          <w:tblCellSpacing w:w="20" w:type="dxa"/>
          <w:tblBorders>
            <w:insideH w:val="outset" w:sz="6" w:space="0" w:color="auto"/>
            <w:insideV w:val="outset" w:sz="6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  <w:tblLook w:val="00A0" w:firstRow="1" w:lastRow="0" w:firstColumn="1" w:lastColumn="0" w:noHBand="0" w:noVBand="0"/>
        </w:tblPrEx>
        <w:trPr>
          <w:tblCellSpacing w:w="20" w:type="dxa"/>
        </w:trPr>
        <w:tc>
          <w:tcPr>
            <w:tcW w:w="9736" w:type="dxa"/>
            <w:gridSpan w:val="3"/>
            <w:shd w:val="clear" w:color="auto" w:fill="auto"/>
            <w:vAlign w:val="center"/>
          </w:tcPr>
          <w:p w:rsidR="00A835F1" w:rsidRDefault="00A835F1" w:rsidP="004E727F">
            <w:pPr>
              <w:rPr>
                <w:b/>
                <w:sz w:val="16"/>
                <w:szCs w:val="16"/>
              </w:rPr>
            </w:pPr>
          </w:p>
          <w:p w:rsidR="008A5428" w:rsidRPr="00B26583" w:rsidRDefault="008A5428" w:rsidP="004E727F">
            <w:pPr>
              <w:rPr>
                <w:b/>
                <w:sz w:val="16"/>
                <w:szCs w:val="16"/>
              </w:rPr>
            </w:pPr>
            <w:r w:rsidRPr="00B26583">
              <w:rPr>
                <w:b/>
                <w:sz w:val="16"/>
                <w:szCs w:val="16"/>
              </w:rPr>
              <w:t>Тариф за хранение денежных средств в иностранной валюте на Клиентском счете</w:t>
            </w:r>
            <w:r w:rsidRPr="00B26583">
              <w:rPr>
                <w:sz w:val="16"/>
                <w:szCs w:val="16"/>
              </w:rPr>
              <w:t xml:space="preserve">, в % годовых </w:t>
            </w:r>
          </w:p>
        </w:tc>
      </w:tr>
      <w:tr w:rsidR="008A5428" w:rsidRPr="00B26583" w:rsidTr="00A835F1">
        <w:tblPrEx>
          <w:tblCellSpacing w:w="20" w:type="dxa"/>
          <w:tblBorders>
            <w:insideH w:val="outset" w:sz="6" w:space="0" w:color="auto"/>
            <w:insideV w:val="outset" w:sz="6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  <w:tblLook w:val="00A0" w:firstRow="1" w:lastRow="0" w:firstColumn="1" w:lastColumn="0" w:noHBand="0" w:noVBand="0"/>
        </w:tblPrEx>
        <w:trPr>
          <w:tblCellSpacing w:w="20" w:type="dxa"/>
        </w:trPr>
        <w:tc>
          <w:tcPr>
            <w:tcW w:w="4307" w:type="dxa"/>
            <w:gridSpan w:val="2"/>
            <w:shd w:val="clear" w:color="auto" w:fill="auto"/>
            <w:vAlign w:val="center"/>
          </w:tcPr>
          <w:p w:rsidR="005258CA" w:rsidRPr="00B26583" w:rsidRDefault="008A5428" w:rsidP="004E727F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 xml:space="preserve">Ставка комиссионного вознаграждения Брокеру, </w:t>
            </w:r>
          </w:p>
          <w:p w:rsidR="008A5428" w:rsidRPr="00B26583" w:rsidRDefault="008A5428" w:rsidP="000F203E">
            <w:pPr>
              <w:jc w:val="both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 xml:space="preserve">% годовых от суммы денежных средств в иностранной валюте на </w:t>
            </w:r>
            <w:r w:rsidR="004C48EE" w:rsidRPr="00B26583">
              <w:rPr>
                <w:sz w:val="16"/>
                <w:szCs w:val="16"/>
              </w:rPr>
              <w:t>Клиентском счете</w:t>
            </w:r>
            <w:r w:rsidRPr="00B26583">
              <w:rPr>
                <w:sz w:val="16"/>
                <w:szCs w:val="16"/>
              </w:rPr>
              <w:t xml:space="preserve"> (отдельно по каждой валюте: доллары США, Евро, китайский юань) по итогам </w:t>
            </w:r>
            <w:r w:rsidR="00264E06" w:rsidRPr="00B26583">
              <w:rPr>
                <w:sz w:val="16"/>
                <w:szCs w:val="16"/>
              </w:rPr>
              <w:t xml:space="preserve">календарного </w:t>
            </w:r>
            <w:r w:rsidRPr="00B26583">
              <w:rPr>
                <w:sz w:val="16"/>
                <w:szCs w:val="16"/>
              </w:rPr>
              <w:t>дня</w:t>
            </w:r>
            <w:r w:rsidR="00373AE6" w:rsidRPr="00B26583">
              <w:rPr>
                <w:sz w:val="16"/>
                <w:szCs w:val="16"/>
              </w:rPr>
              <w:t xml:space="preserve"> (включая комиссию НКО НКЦ (АО) за учет обеспечения в иностранной валюте)</w:t>
            </w:r>
            <w:r w:rsidR="00BD3BE0" w:rsidRPr="00B26583">
              <w:rPr>
                <w:sz w:val="16"/>
                <w:szCs w:val="16"/>
              </w:rPr>
              <w:t xml:space="preserve"> </w:t>
            </w:r>
            <w:r w:rsidR="00CC29E5" w:rsidRPr="00B26583">
              <w:rPr>
                <w:sz w:val="16"/>
                <w:szCs w:val="16"/>
              </w:rPr>
              <w:t>*</w:t>
            </w:r>
            <w:r w:rsidRPr="00B26583">
              <w:rPr>
                <w:sz w:val="16"/>
                <w:szCs w:val="16"/>
              </w:rPr>
              <w:t>.</w:t>
            </w:r>
          </w:p>
          <w:p w:rsidR="008A5428" w:rsidRPr="00B26583" w:rsidRDefault="008A5428" w:rsidP="000F203E">
            <w:pPr>
              <w:jc w:val="both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 xml:space="preserve">Вознаграждение рассчитывается отдельно по каждой валюте, находящейся на Клиентском счете по итогам </w:t>
            </w:r>
            <w:r w:rsidR="00264E06" w:rsidRPr="00B26583">
              <w:rPr>
                <w:sz w:val="16"/>
                <w:szCs w:val="16"/>
              </w:rPr>
              <w:t xml:space="preserve">календарного </w:t>
            </w:r>
            <w:r w:rsidRPr="00B26583">
              <w:rPr>
                <w:sz w:val="16"/>
                <w:szCs w:val="16"/>
              </w:rPr>
              <w:t>дня, в российских рублях по курсу Центрального банка РФ на дату расчета.</w:t>
            </w:r>
          </w:p>
          <w:p w:rsidR="008A5428" w:rsidRPr="00B26583" w:rsidRDefault="008A5428" w:rsidP="00373AE6">
            <w:pPr>
              <w:rPr>
                <w:sz w:val="16"/>
                <w:szCs w:val="16"/>
              </w:rPr>
            </w:pPr>
          </w:p>
        </w:tc>
        <w:tc>
          <w:tcPr>
            <w:tcW w:w="5415" w:type="dxa"/>
            <w:shd w:val="clear" w:color="auto" w:fill="auto"/>
            <w:vAlign w:val="center"/>
          </w:tcPr>
          <w:p w:rsidR="008A5428" w:rsidRPr="00B26583" w:rsidRDefault="008A5428" w:rsidP="004E727F">
            <w:pPr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3%</w:t>
            </w:r>
          </w:p>
        </w:tc>
      </w:tr>
      <w:tr w:rsidR="00CC29E5" w:rsidRPr="00B26583" w:rsidTr="00A835F1">
        <w:tblPrEx>
          <w:tblCellSpacing w:w="20" w:type="dxa"/>
          <w:tblBorders>
            <w:insideH w:val="outset" w:sz="6" w:space="0" w:color="auto"/>
            <w:insideV w:val="outset" w:sz="6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  <w:tblLook w:val="00A0" w:firstRow="1" w:lastRow="0" w:firstColumn="1" w:lastColumn="0" w:noHBand="0" w:noVBand="0"/>
        </w:tblPrEx>
        <w:trPr>
          <w:tblCellSpacing w:w="20" w:type="dxa"/>
        </w:trPr>
        <w:tc>
          <w:tcPr>
            <w:tcW w:w="9736" w:type="dxa"/>
            <w:gridSpan w:val="3"/>
            <w:shd w:val="clear" w:color="auto" w:fill="auto"/>
            <w:vAlign w:val="center"/>
          </w:tcPr>
          <w:p w:rsidR="00CC29E5" w:rsidRPr="00B26583" w:rsidRDefault="00CC29E5" w:rsidP="00E90BD3">
            <w:pPr>
              <w:pStyle w:val="a5"/>
              <w:ind w:left="0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 xml:space="preserve">*Вознаграждение Брокера </w:t>
            </w:r>
            <w:r w:rsidRPr="00B26583">
              <w:rPr>
                <w:b/>
                <w:sz w:val="16"/>
                <w:szCs w:val="16"/>
              </w:rPr>
              <w:t>не</w:t>
            </w:r>
            <w:r w:rsidRPr="00B26583">
              <w:rPr>
                <w:sz w:val="16"/>
                <w:szCs w:val="16"/>
              </w:rPr>
              <w:t xml:space="preserve"> включает возмещение услуг кредитной организации за хранение денежных средств клиента в иностранной валюте на </w:t>
            </w:r>
            <w:proofErr w:type="spellStart"/>
            <w:r w:rsidRPr="00B26583">
              <w:rPr>
                <w:sz w:val="16"/>
                <w:szCs w:val="16"/>
              </w:rPr>
              <w:t>спецброкерском</w:t>
            </w:r>
            <w:proofErr w:type="spellEnd"/>
            <w:r w:rsidRPr="00B26583">
              <w:rPr>
                <w:sz w:val="16"/>
                <w:szCs w:val="16"/>
              </w:rPr>
              <w:t xml:space="preserve"> счете.</w:t>
            </w:r>
            <w:r w:rsidR="002C04C6" w:rsidRPr="00B26583">
              <w:rPr>
                <w:sz w:val="16"/>
                <w:szCs w:val="16"/>
              </w:rPr>
              <w:t xml:space="preserve"> Клиент возмещает эти расходы в соответствии с тарифами кредитной организации..</w:t>
            </w:r>
          </w:p>
        </w:tc>
      </w:tr>
      <w:tr w:rsidR="007B0440" w:rsidRPr="00B26583" w:rsidTr="00A835F1">
        <w:trPr>
          <w:gridBefore w:val="1"/>
          <w:wBefore w:w="55" w:type="dxa"/>
          <w:tblCellSpacing w:w="7" w:type="dxa"/>
        </w:trPr>
        <w:tc>
          <w:tcPr>
            <w:tcW w:w="9667" w:type="dxa"/>
            <w:gridSpan w:val="2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D3BE0" w:rsidRPr="00B26583" w:rsidRDefault="00BD3BE0" w:rsidP="007B0440">
            <w:pPr>
              <w:rPr>
                <w:b/>
                <w:sz w:val="16"/>
                <w:szCs w:val="16"/>
              </w:rPr>
            </w:pPr>
          </w:p>
          <w:p w:rsidR="007B0440" w:rsidRPr="00B26583" w:rsidRDefault="004C48EE" w:rsidP="007B0440">
            <w:pPr>
              <w:rPr>
                <w:b/>
                <w:sz w:val="16"/>
                <w:szCs w:val="16"/>
              </w:rPr>
            </w:pPr>
            <w:r w:rsidRPr="00B26583">
              <w:rPr>
                <w:b/>
                <w:sz w:val="16"/>
                <w:szCs w:val="16"/>
              </w:rPr>
              <w:t xml:space="preserve">Вознаграждение Брокера за обработку </w:t>
            </w:r>
            <w:r w:rsidR="005D1BA6" w:rsidRPr="00B26583">
              <w:rPr>
                <w:b/>
                <w:sz w:val="16"/>
                <w:szCs w:val="16"/>
              </w:rPr>
              <w:t xml:space="preserve">внешнего </w:t>
            </w:r>
            <w:r w:rsidR="00264E06" w:rsidRPr="00B26583">
              <w:rPr>
                <w:b/>
                <w:sz w:val="16"/>
                <w:szCs w:val="16"/>
              </w:rPr>
              <w:t>зачисления денежных средств в иностранной валюте</w:t>
            </w:r>
            <w:r w:rsidR="005D1BA6" w:rsidRPr="00B26583">
              <w:rPr>
                <w:b/>
                <w:sz w:val="16"/>
                <w:szCs w:val="16"/>
              </w:rPr>
              <w:t>, за обработку</w:t>
            </w:r>
            <w:r w:rsidR="00264E06" w:rsidRPr="00B26583">
              <w:rPr>
                <w:b/>
                <w:sz w:val="16"/>
                <w:szCs w:val="16"/>
              </w:rPr>
              <w:t xml:space="preserve"> </w:t>
            </w:r>
            <w:r w:rsidRPr="00B26583">
              <w:rPr>
                <w:b/>
                <w:sz w:val="16"/>
                <w:szCs w:val="16"/>
              </w:rPr>
              <w:t>поручения на вывод денежных средств в иностранной валюте с Клиентского счета на счет в кредитной организации**:</w:t>
            </w:r>
          </w:p>
        </w:tc>
      </w:tr>
      <w:tr w:rsidR="005D1BA6" w:rsidRPr="00B26583" w:rsidTr="007349AB">
        <w:trPr>
          <w:gridBefore w:val="1"/>
          <w:wBefore w:w="55" w:type="dxa"/>
          <w:tblCellSpacing w:w="7" w:type="dxa"/>
        </w:trPr>
        <w:tc>
          <w:tcPr>
            <w:tcW w:w="423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1BA6" w:rsidRPr="00B26583" w:rsidRDefault="005D1BA6" w:rsidP="0006080C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Зачисление денежных средств в иностранной валюте со счета Клиента в кредитной организации на Клиентский счет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D1BA6" w:rsidRPr="00B26583" w:rsidRDefault="005D1BA6" w:rsidP="0006080C">
            <w:pPr>
              <w:tabs>
                <w:tab w:val="left" w:pos="3636"/>
              </w:tabs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3 000 рублей</w:t>
            </w:r>
          </w:p>
        </w:tc>
      </w:tr>
      <w:tr w:rsidR="007B0440" w:rsidRPr="00B26583" w:rsidTr="007349AB">
        <w:trPr>
          <w:gridBefore w:val="1"/>
          <w:wBefore w:w="55" w:type="dxa"/>
          <w:tblCellSpacing w:w="7" w:type="dxa"/>
        </w:trPr>
        <w:tc>
          <w:tcPr>
            <w:tcW w:w="423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0440" w:rsidRPr="00B26583" w:rsidRDefault="00CC23D8" w:rsidP="007B0440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П</w:t>
            </w:r>
            <w:r w:rsidR="007B0440" w:rsidRPr="00B26583">
              <w:rPr>
                <w:sz w:val="16"/>
                <w:szCs w:val="16"/>
              </w:rPr>
              <w:t>оручение на вывод USD (доллар США)</w:t>
            </w:r>
            <w:r w:rsidR="00814B7F" w:rsidRPr="00B26583">
              <w:rPr>
                <w:sz w:val="16"/>
                <w:szCs w:val="16"/>
              </w:rPr>
              <w:t xml:space="preserve">, EUR (евро) </w:t>
            </w:r>
            <w:r w:rsidR="007B0440" w:rsidRPr="00B26583">
              <w:rPr>
                <w:sz w:val="16"/>
                <w:szCs w:val="16"/>
              </w:rPr>
              <w:t>: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D4A61" w:rsidRPr="00B26583" w:rsidRDefault="00814B7F" w:rsidP="00DF037E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 xml:space="preserve">0,1% от суммы вывода денежных средств в российских рублях по курсу Банка России на день исполнения поручения, но не менее </w:t>
            </w:r>
            <w:r w:rsidR="00DF037E" w:rsidRPr="00B26583">
              <w:rPr>
                <w:sz w:val="16"/>
                <w:szCs w:val="16"/>
              </w:rPr>
              <w:t>5</w:t>
            </w:r>
            <w:r w:rsidRPr="00B26583">
              <w:rPr>
                <w:sz w:val="16"/>
                <w:szCs w:val="16"/>
              </w:rPr>
              <w:t xml:space="preserve"> 000 рублей</w:t>
            </w:r>
          </w:p>
        </w:tc>
      </w:tr>
      <w:tr w:rsidR="00AD21C3" w:rsidRPr="00B26583" w:rsidTr="007349AB">
        <w:trPr>
          <w:gridBefore w:val="1"/>
          <w:wBefore w:w="55" w:type="dxa"/>
          <w:tblCellSpacing w:w="7" w:type="dxa"/>
        </w:trPr>
        <w:tc>
          <w:tcPr>
            <w:tcW w:w="423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21C3" w:rsidRPr="00B26583" w:rsidRDefault="00AD21C3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 xml:space="preserve">Поручение на вывод </w:t>
            </w:r>
            <w:r w:rsidRPr="00B26583">
              <w:rPr>
                <w:sz w:val="16"/>
                <w:szCs w:val="16"/>
                <w:lang w:val="en-US"/>
              </w:rPr>
              <w:t>CNY</w:t>
            </w:r>
            <w:r w:rsidRPr="00B26583">
              <w:rPr>
                <w:sz w:val="16"/>
                <w:szCs w:val="16"/>
              </w:rPr>
              <w:t xml:space="preserve"> (китайский юань)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D21C3" w:rsidRPr="00B26583" w:rsidRDefault="00AD21C3" w:rsidP="00AD21C3">
            <w:pPr>
              <w:tabs>
                <w:tab w:val="left" w:pos="3636"/>
              </w:tabs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 xml:space="preserve">на сумму до </w:t>
            </w:r>
            <w:r w:rsidR="00814B7F" w:rsidRPr="00B26583">
              <w:rPr>
                <w:sz w:val="16"/>
                <w:szCs w:val="16"/>
              </w:rPr>
              <w:t>2</w:t>
            </w:r>
            <w:r w:rsidRPr="00B26583">
              <w:rPr>
                <w:sz w:val="16"/>
                <w:szCs w:val="16"/>
              </w:rPr>
              <w:t xml:space="preserve">5 000,00 </w:t>
            </w:r>
            <w:r w:rsidRPr="00B26583">
              <w:rPr>
                <w:sz w:val="16"/>
                <w:szCs w:val="16"/>
                <w:lang w:val="en-US"/>
              </w:rPr>
              <w:t>CNY</w:t>
            </w:r>
            <w:r w:rsidRPr="00B26583">
              <w:rPr>
                <w:sz w:val="16"/>
                <w:szCs w:val="16"/>
              </w:rPr>
              <w:t xml:space="preserve"> (китайский юань) включительно – </w:t>
            </w:r>
            <w:r w:rsidR="00814B7F" w:rsidRPr="00B26583">
              <w:rPr>
                <w:sz w:val="16"/>
                <w:szCs w:val="16"/>
              </w:rPr>
              <w:t xml:space="preserve">1500 </w:t>
            </w:r>
            <w:r w:rsidRPr="00B26583">
              <w:rPr>
                <w:sz w:val="16"/>
                <w:szCs w:val="16"/>
              </w:rPr>
              <w:t>руб.;</w:t>
            </w:r>
          </w:p>
          <w:p w:rsidR="004C48EE" w:rsidRPr="00B26583" w:rsidRDefault="00AD21C3" w:rsidP="00DF037E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 xml:space="preserve">на сумму от </w:t>
            </w:r>
            <w:r w:rsidR="00814B7F" w:rsidRPr="00B26583">
              <w:rPr>
                <w:sz w:val="16"/>
                <w:szCs w:val="16"/>
              </w:rPr>
              <w:t>2</w:t>
            </w:r>
            <w:r w:rsidRPr="00B26583">
              <w:rPr>
                <w:sz w:val="16"/>
                <w:szCs w:val="16"/>
              </w:rPr>
              <w:t xml:space="preserve">5 000, 01 </w:t>
            </w:r>
            <w:r w:rsidRPr="00B26583">
              <w:rPr>
                <w:sz w:val="16"/>
                <w:szCs w:val="16"/>
                <w:lang w:val="en-US"/>
              </w:rPr>
              <w:t>CNY</w:t>
            </w:r>
            <w:r w:rsidRPr="00B26583">
              <w:rPr>
                <w:sz w:val="16"/>
                <w:szCs w:val="16"/>
              </w:rPr>
              <w:t xml:space="preserve"> (китайский юань) </w:t>
            </w:r>
            <w:r w:rsidR="00814B7F" w:rsidRPr="00B26583">
              <w:rPr>
                <w:sz w:val="16"/>
                <w:szCs w:val="16"/>
              </w:rPr>
              <w:t xml:space="preserve"> 0,1% от суммы вывода денежных средств в российских рублях по курсу Банка России на день исполнения поручения, но не менее </w:t>
            </w:r>
            <w:r w:rsidR="00DF037E" w:rsidRPr="00B26583">
              <w:rPr>
                <w:sz w:val="16"/>
                <w:szCs w:val="16"/>
              </w:rPr>
              <w:t>5</w:t>
            </w:r>
            <w:r w:rsidR="00814B7F" w:rsidRPr="00B26583">
              <w:rPr>
                <w:sz w:val="16"/>
                <w:szCs w:val="16"/>
              </w:rPr>
              <w:t xml:space="preserve"> 000 рублей.</w:t>
            </w:r>
          </w:p>
        </w:tc>
      </w:tr>
    </w:tbl>
    <w:p w:rsidR="00A75A9E" w:rsidRPr="00B26583" w:rsidRDefault="00DF620D">
      <w:pPr>
        <w:jc w:val="both"/>
        <w:rPr>
          <w:sz w:val="16"/>
          <w:szCs w:val="16"/>
        </w:rPr>
      </w:pPr>
      <w:r w:rsidRPr="00B26583">
        <w:rPr>
          <w:sz w:val="16"/>
          <w:szCs w:val="16"/>
        </w:rPr>
        <w:t xml:space="preserve">* </w:t>
      </w:r>
      <w:r w:rsidR="00FB5281" w:rsidRPr="00B26583">
        <w:rPr>
          <w:sz w:val="16"/>
          <w:szCs w:val="16"/>
        </w:rPr>
        <w:t>Клиент возмещает расходы по открытию</w:t>
      </w:r>
      <w:r w:rsidR="00C1736F" w:rsidRPr="00B26583">
        <w:rPr>
          <w:sz w:val="16"/>
          <w:szCs w:val="16"/>
        </w:rPr>
        <w:t xml:space="preserve"> и ведению</w:t>
      </w:r>
      <w:r w:rsidR="00FB5281" w:rsidRPr="00B26583">
        <w:rPr>
          <w:sz w:val="16"/>
          <w:szCs w:val="16"/>
        </w:rPr>
        <w:t xml:space="preserve"> отдельного расчетного </w:t>
      </w:r>
      <w:r w:rsidR="0094643A" w:rsidRPr="00B26583">
        <w:rPr>
          <w:sz w:val="16"/>
          <w:szCs w:val="16"/>
        </w:rPr>
        <w:t>кода</w:t>
      </w:r>
      <w:r w:rsidR="00C1736F" w:rsidRPr="00B26583">
        <w:rPr>
          <w:sz w:val="16"/>
          <w:szCs w:val="16"/>
        </w:rPr>
        <w:t>/ТКС</w:t>
      </w:r>
      <w:r w:rsidR="0094643A" w:rsidRPr="00B26583">
        <w:rPr>
          <w:sz w:val="16"/>
          <w:szCs w:val="16"/>
        </w:rPr>
        <w:t xml:space="preserve"> в соответствии с тарифами </w:t>
      </w:r>
      <w:r w:rsidR="00FB5281" w:rsidRPr="00B26583">
        <w:rPr>
          <w:sz w:val="16"/>
          <w:szCs w:val="16"/>
        </w:rPr>
        <w:t>контрагента</w:t>
      </w:r>
    </w:p>
    <w:p w:rsidR="007B0440" w:rsidRPr="00B26583" w:rsidRDefault="00FB5281" w:rsidP="00BD3BE0">
      <w:pPr>
        <w:ind w:right="141"/>
        <w:jc w:val="both"/>
        <w:rPr>
          <w:sz w:val="16"/>
          <w:szCs w:val="16"/>
        </w:rPr>
      </w:pPr>
      <w:r w:rsidRPr="00B26583">
        <w:rPr>
          <w:sz w:val="16"/>
          <w:szCs w:val="16"/>
        </w:rPr>
        <w:t>**</w:t>
      </w:r>
      <w:r w:rsidR="007458E2" w:rsidRPr="00B26583">
        <w:rPr>
          <w:sz w:val="16"/>
          <w:szCs w:val="16"/>
        </w:rPr>
        <w:t xml:space="preserve">Вознаграждение </w:t>
      </w:r>
      <w:r w:rsidR="00DF620D" w:rsidRPr="00B26583">
        <w:rPr>
          <w:sz w:val="16"/>
          <w:szCs w:val="16"/>
        </w:rPr>
        <w:t>Брокер</w:t>
      </w:r>
      <w:r w:rsidR="007458E2" w:rsidRPr="00B26583">
        <w:rPr>
          <w:sz w:val="16"/>
          <w:szCs w:val="16"/>
        </w:rPr>
        <w:t xml:space="preserve">а </w:t>
      </w:r>
      <w:r w:rsidR="00927206" w:rsidRPr="00B26583">
        <w:rPr>
          <w:b/>
          <w:sz w:val="16"/>
          <w:szCs w:val="16"/>
        </w:rPr>
        <w:t>не</w:t>
      </w:r>
      <w:r w:rsidR="00927206" w:rsidRPr="00B26583">
        <w:rPr>
          <w:sz w:val="16"/>
          <w:szCs w:val="16"/>
        </w:rPr>
        <w:t xml:space="preserve"> </w:t>
      </w:r>
      <w:r w:rsidR="007458E2" w:rsidRPr="00B26583">
        <w:rPr>
          <w:sz w:val="16"/>
          <w:szCs w:val="16"/>
        </w:rPr>
        <w:t xml:space="preserve">включает возмещение услуг </w:t>
      </w:r>
      <w:r w:rsidR="00531C99" w:rsidRPr="00B26583">
        <w:rPr>
          <w:sz w:val="16"/>
          <w:szCs w:val="16"/>
        </w:rPr>
        <w:t>кредитной организации</w:t>
      </w:r>
      <w:r w:rsidR="007458E2" w:rsidRPr="00B26583">
        <w:rPr>
          <w:sz w:val="16"/>
          <w:szCs w:val="16"/>
        </w:rPr>
        <w:t xml:space="preserve"> за осуществление переводов денежных средств в иностранной валюте</w:t>
      </w:r>
      <w:r w:rsidR="004C5C2B" w:rsidRPr="00B26583">
        <w:rPr>
          <w:sz w:val="16"/>
          <w:szCs w:val="16"/>
        </w:rPr>
        <w:t xml:space="preserve"> и валютный контроль</w:t>
      </w:r>
      <w:r w:rsidR="002C04C6" w:rsidRPr="00B26583">
        <w:rPr>
          <w:sz w:val="16"/>
          <w:szCs w:val="16"/>
        </w:rPr>
        <w:t>, а также за</w:t>
      </w:r>
      <w:r w:rsidR="00BD3BE0" w:rsidRPr="00B26583">
        <w:rPr>
          <w:sz w:val="16"/>
          <w:szCs w:val="16"/>
        </w:rPr>
        <w:t xml:space="preserve"> </w:t>
      </w:r>
      <w:r w:rsidR="002C04C6" w:rsidRPr="00B26583">
        <w:rPr>
          <w:sz w:val="16"/>
          <w:szCs w:val="16"/>
        </w:rPr>
        <w:t xml:space="preserve">хранение денежных средств клиента в иностранной валюте на </w:t>
      </w:r>
      <w:proofErr w:type="spellStart"/>
      <w:r w:rsidR="002C04C6" w:rsidRPr="00B26583">
        <w:rPr>
          <w:sz w:val="16"/>
          <w:szCs w:val="16"/>
        </w:rPr>
        <w:t>спецброкерском</w:t>
      </w:r>
      <w:proofErr w:type="spellEnd"/>
      <w:r w:rsidR="002C04C6" w:rsidRPr="00B26583">
        <w:rPr>
          <w:sz w:val="16"/>
          <w:szCs w:val="16"/>
        </w:rPr>
        <w:t xml:space="preserve"> счете в кредитной организации. Клиент возмещает эти расходы в соответствии с тарифами кредитной организации.</w:t>
      </w:r>
      <w:r w:rsidR="007458E2" w:rsidRPr="00B26583">
        <w:rPr>
          <w:sz w:val="16"/>
          <w:szCs w:val="16"/>
        </w:rPr>
        <w:t xml:space="preserve"> </w:t>
      </w:r>
      <w:r w:rsidR="00531C99" w:rsidRPr="00B26583">
        <w:rPr>
          <w:sz w:val="16"/>
          <w:szCs w:val="16"/>
        </w:rPr>
        <w:t xml:space="preserve">С тарифами можно ознакомиться на сайте кредитной организации: </w:t>
      </w:r>
      <w:hyperlink r:id="rId11" w:history="1">
        <w:r w:rsidR="00C057F7" w:rsidRPr="00B26583">
          <w:rPr>
            <w:sz w:val="16"/>
            <w:szCs w:val="16"/>
          </w:rPr>
          <w:t>https://www.nsd.ru/tariffs/</w:t>
        </w:r>
      </w:hyperlink>
      <w:r w:rsidR="00C057F7" w:rsidRPr="00B26583">
        <w:rPr>
          <w:sz w:val="16"/>
          <w:szCs w:val="16"/>
        </w:rPr>
        <w:t xml:space="preserve"> , </w:t>
      </w:r>
      <w:hyperlink r:id="rId12" w:history="1">
        <w:r w:rsidR="00C057F7" w:rsidRPr="00B26583">
          <w:rPr>
            <w:sz w:val="16"/>
            <w:szCs w:val="16"/>
            <w:lang w:val="en-US"/>
          </w:rPr>
          <w:t>https</w:t>
        </w:r>
        <w:r w:rsidR="00C057F7" w:rsidRPr="00B26583">
          <w:rPr>
            <w:sz w:val="16"/>
            <w:szCs w:val="16"/>
          </w:rPr>
          <w:t>://</w:t>
        </w:r>
        <w:r w:rsidR="00C057F7" w:rsidRPr="00B26583">
          <w:rPr>
            <w:sz w:val="16"/>
            <w:szCs w:val="16"/>
            <w:lang w:val="en-US"/>
          </w:rPr>
          <w:t>www</w:t>
        </w:r>
        <w:r w:rsidR="00C057F7" w:rsidRPr="00B26583">
          <w:rPr>
            <w:sz w:val="16"/>
            <w:szCs w:val="16"/>
          </w:rPr>
          <w:t>.</w:t>
        </w:r>
        <w:r w:rsidR="00C057F7" w:rsidRPr="00B26583">
          <w:rPr>
            <w:sz w:val="16"/>
            <w:szCs w:val="16"/>
            <w:lang w:val="en-US"/>
          </w:rPr>
          <w:t>raiffeisen</w:t>
        </w:r>
        <w:r w:rsidR="00C057F7" w:rsidRPr="00B26583">
          <w:rPr>
            <w:sz w:val="16"/>
            <w:szCs w:val="16"/>
          </w:rPr>
          <w:t>.</w:t>
        </w:r>
        <w:r w:rsidR="00C057F7" w:rsidRPr="00B26583">
          <w:rPr>
            <w:sz w:val="16"/>
            <w:szCs w:val="16"/>
            <w:lang w:val="en-US"/>
          </w:rPr>
          <w:t>ru</w:t>
        </w:r>
        <w:r w:rsidR="00C057F7" w:rsidRPr="00B26583">
          <w:rPr>
            <w:sz w:val="16"/>
            <w:szCs w:val="16"/>
          </w:rPr>
          <w:t>/</w:t>
        </w:r>
        <w:r w:rsidR="00C057F7" w:rsidRPr="00B26583">
          <w:rPr>
            <w:sz w:val="16"/>
            <w:szCs w:val="16"/>
            <w:lang w:val="en-US"/>
          </w:rPr>
          <w:t>corporate</w:t>
        </w:r>
        <w:r w:rsidR="00C057F7" w:rsidRPr="00B26583">
          <w:rPr>
            <w:sz w:val="16"/>
            <w:szCs w:val="16"/>
          </w:rPr>
          <w:t>/</w:t>
        </w:r>
        <w:r w:rsidR="00C057F7" w:rsidRPr="00B26583">
          <w:rPr>
            <w:sz w:val="16"/>
            <w:szCs w:val="16"/>
            <w:lang w:val="en-US"/>
          </w:rPr>
          <w:t>tariffs</w:t>
        </w:r>
        <w:r w:rsidR="00C057F7" w:rsidRPr="00B26583">
          <w:rPr>
            <w:sz w:val="16"/>
            <w:szCs w:val="16"/>
          </w:rPr>
          <w:t>/</w:t>
        </w:r>
      </w:hyperlink>
      <w:r w:rsidR="00373AE6" w:rsidRPr="00B26583">
        <w:t xml:space="preserve">, </w:t>
      </w:r>
      <w:r w:rsidR="00C057F7" w:rsidRPr="00B26583">
        <w:rPr>
          <w:sz w:val="16"/>
          <w:szCs w:val="16"/>
        </w:rPr>
        <w:t xml:space="preserve"> </w:t>
      </w:r>
      <w:r w:rsidR="00373AE6" w:rsidRPr="00B26583">
        <w:rPr>
          <w:sz w:val="16"/>
          <w:szCs w:val="16"/>
        </w:rPr>
        <w:t>https://www.nationalclearingcentre.ru/.</w:t>
      </w:r>
    </w:p>
    <w:p w:rsidR="00B242C2" w:rsidRPr="00B26583" w:rsidRDefault="00B242C2" w:rsidP="00B242C2">
      <w:pPr>
        <w:ind w:right="141"/>
        <w:jc w:val="both"/>
        <w:rPr>
          <w:sz w:val="16"/>
          <w:szCs w:val="16"/>
        </w:rPr>
      </w:pPr>
    </w:p>
    <w:p w:rsidR="00A02F8C" w:rsidRPr="00B26583" w:rsidRDefault="00A02F8C" w:rsidP="0005169B">
      <w:pPr>
        <w:rPr>
          <w:b/>
          <w:bCs/>
          <w:sz w:val="18"/>
          <w:szCs w:val="18"/>
        </w:rPr>
      </w:pPr>
    </w:p>
    <w:p w:rsidR="00C83AFE" w:rsidRPr="00B26583" w:rsidRDefault="00C83AFE" w:rsidP="0005169B">
      <w:pPr>
        <w:rPr>
          <w:b/>
          <w:bCs/>
          <w:sz w:val="18"/>
          <w:szCs w:val="18"/>
        </w:rPr>
      </w:pPr>
      <w:r w:rsidRPr="00B26583">
        <w:rPr>
          <w:b/>
          <w:bCs/>
          <w:sz w:val="18"/>
          <w:szCs w:val="18"/>
        </w:rPr>
        <w:t>Плата, взимаемая за предоставление документов на бумажном носителе</w:t>
      </w:r>
      <w:r w:rsidR="005B6C00" w:rsidRPr="00B26583">
        <w:rPr>
          <w:b/>
          <w:bCs/>
          <w:sz w:val="18"/>
          <w:szCs w:val="18"/>
        </w:rPr>
        <w:t>.</w:t>
      </w:r>
    </w:p>
    <w:p w:rsidR="00DB6F4E" w:rsidRPr="00B26583" w:rsidRDefault="00DB6F4E" w:rsidP="00DB6F4E">
      <w:pPr>
        <w:jc w:val="both"/>
        <w:rPr>
          <w:sz w:val="16"/>
          <w:szCs w:val="16"/>
        </w:rPr>
      </w:pPr>
    </w:p>
    <w:tbl>
      <w:tblPr>
        <w:tblW w:w="4971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53"/>
        <w:gridCol w:w="5470"/>
      </w:tblGrid>
      <w:tr w:rsidR="00DB6F4E" w:rsidRPr="00B26583" w:rsidTr="007349AB">
        <w:trPr>
          <w:tblCellSpacing w:w="7" w:type="dxa"/>
        </w:trPr>
        <w:tc>
          <w:tcPr>
            <w:tcW w:w="423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F4E" w:rsidRPr="00B26583" w:rsidRDefault="00DB6F4E">
            <w:pPr>
              <w:jc w:val="center"/>
              <w:rPr>
                <w:b/>
                <w:sz w:val="16"/>
                <w:szCs w:val="16"/>
              </w:rPr>
            </w:pPr>
            <w:r w:rsidRPr="00B26583">
              <w:rPr>
                <w:b/>
                <w:sz w:val="16"/>
                <w:szCs w:val="16"/>
              </w:rPr>
              <w:t>Наименование услуги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DB6F4E" w:rsidRPr="00B26583" w:rsidRDefault="005B6C00">
            <w:pPr>
              <w:jc w:val="center"/>
              <w:rPr>
                <w:b/>
                <w:sz w:val="16"/>
                <w:szCs w:val="16"/>
              </w:rPr>
            </w:pPr>
            <w:r w:rsidRPr="00B26583">
              <w:rPr>
                <w:b/>
                <w:sz w:val="16"/>
                <w:szCs w:val="16"/>
              </w:rPr>
              <w:t>Тариф</w:t>
            </w:r>
          </w:p>
          <w:p w:rsidR="005B6C00" w:rsidRPr="00B26583" w:rsidRDefault="005B6C00">
            <w:pPr>
              <w:jc w:val="center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(рассчитывается Брокером и не превышает затраты на изготовление и передачу документов на бумажном носителе)</w:t>
            </w:r>
          </w:p>
          <w:p w:rsidR="00DB6F4E" w:rsidRPr="00B26583" w:rsidRDefault="005B6C00">
            <w:pPr>
              <w:jc w:val="center"/>
              <w:rPr>
                <w:b/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 xml:space="preserve"> НДС не облагается в соответствии со Ст.149 НК РФ.</w:t>
            </w:r>
            <w:r w:rsidR="00DB6F4E" w:rsidRPr="00B26583">
              <w:rPr>
                <w:sz w:val="16"/>
                <w:szCs w:val="16"/>
              </w:rPr>
              <w:t>)</w:t>
            </w:r>
            <w:r w:rsidRPr="00B26583">
              <w:rPr>
                <w:b/>
                <w:sz w:val="16"/>
                <w:szCs w:val="16"/>
              </w:rPr>
              <w:t>.</w:t>
            </w:r>
          </w:p>
        </w:tc>
      </w:tr>
      <w:tr w:rsidR="00DB6F4E" w:rsidRPr="00B26583" w:rsidTr="007349AB">
        <w:trPr>
          <w:tblCellSpacing w:w="7" w:type="dxa"/>
        </w:trPr>
        <w:tc>
          <w:tcPr>
            <w:tcW w:w="423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F4E" w:rsidRPr="00B26583" w:rsidRDefault="001F3788" w:rsidP="0005169B">
            <w:pPr>
              <w:jc w:val="both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Подготовка копий</w:t>
            </w:r>
            <w:r w:rsidR="00DB6F4E" w:rsidRPr="00B26583">
              <w:rPr>
                <w:sz w:val="16"/>
                <w:szCs w:val="16"/>
              </w:rPr>
              <w:t xml:space="preserve"> отчетов, справок по запросу Клиента на бумажном носителе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DB6F4E" w:rsidRPr="00B26583" w:rsidRDefault="00DB6F4E" w:rsidP="00E34BBD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 xml:space="preserve">5 руб.  за лист формата А4 </w:t>
            </w:r>
          </w:p>
        </w:tc>
      </w:tr>
      <w:tr w:rsidR="00DB6F4E" w:rsidRPr="00B26583" w:rsidTr="007349AB">
        <w:trPr>
          <w:tblCellSpacing w:w="7" w:type="dxa"/>
        </w:trPr>
        <w:tc>
          <w:tcPr>
            <w:tcW w:w="423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6F4E" w:rsidRPr="00B26583" w:rsidRDefault="00DB6F4E" w:rsidP="0005169B">
            <w:pPr>
              <w:jc w:val="both"/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>Предоставление по запросу Клиента информации, предусмотренной ФЗ РФ «О защите прав и законных интересов инвесторов на рынке ценных бумаг»</w:t>
            </w:r>
            <w:r w:rsidR="005B6C00" w:rsidRPr="00B26583">
              <w:rPr>
                <w:sz w:val="16"/>
                <w:szCs w:val="16"/>
              </w:rPr>
              <w:t xml:space="preserve"> и «Базовым стандартом защиты прав и интересов физических и юридических лиц-получателей финансовых услуг, оказываемых членами саморегулируемых организаций в сфере финансового рынка, объединяющих брокеров»  </w:t>
            </w:r>
            <w:r w:rsidRPr="00B26583">
              <w:rPr>
                <w:sz w:val="16"/>
                <w:szCs w:val="16"/>
              </w:rPr>
              <w:t xml:space="preserve"> на бумажном носителе 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DB6F4E" w:rsidRPr="00B26583" w:rsidRDefault="00DB6F4E">
            <w:pPr>
              <w:rPr>
                <w:sz w:val="16"/>
                <w:szCs w:val="16"/>
              </w:rPr>
            </w:pPr>
            <w:r w:rsidRPr="00B26583">
              <w:rPr>
                <w:sz w:val="16"/>
                <w:szCs w:val="16"/>
              </w:rPr>
              <w:t xml:space="preserve">5 руб. за лист формата А4 </w:t>
            </w:r>
          </w:p>
        </w:tc>
      </w:tr>
    </w:tbl>
    <w:p w:rsidR="00DB6F4E" w:rsidRPr="00B26583" w:rsidRDefault="00DB6F4E" w:rsidP="00D165F4">
      <w:pPr>
        <w:jc w:val="both"/>
        <w:rPr>
          <w:sz w:val="16"/>
          <w:szCs w:val="16"/>
        </w:rPr>
      </w:pPr>
    </w:p>
    <w:p w:rsidR="000973B1" w:rsidRPr="00B26583" w:rsidRDefault="000973B1" w:rsidP="00AD61E3">
      <w:pPr>
        <w:pBdr>
          <w:top w:val="single" w:sz="4" w:space="1" w:color="auto"/>
        </w:pBdr>
        <w:jc w:val="both"/>
        <w:rPr>
          <w:sz w:val="16"/>
          <w:szCs w:val="16"/>
          <w:vertAlign w:val="superscript"/>
        </w:rPr>
      </w:pPr>
    </w:p>
    <w:p w:rsidR="00AD61E3" w:rsidRPr="00B26583" w:rsidRDefault="00841C6D" w:rsidP="00AD61E3">
      <w:pPr>
        <w:pBdr>
          <w:top w:val="single" w:sz="4" w:space="1" w:color="auto"/>
        </w:pBdr>
        <w:jc w:val="both"/>
        <w:rPr>
          <w:sz w:val="16"/>
          <w:szCs w:val="16"/>
        </w:rPr>
      </w:pPr>
      <w:r w:rsidRPr="00B26583">
        <w:rPr>
          <w:sz w:val="16"/>
          <w:szCs w:val="16"/>
          <w:vertAlign w:val="superscript"/>
        </w:rPr>
        <w:t>1</w:t>
      </w:r>
      <w:r w:rsidR="00923329" w:rsidRPr="00B26583">
        <w:rPr>
          <w:sz w:val="16"/>
          <w:szCs w:val="16"/>
          <w:vertAlign w:val="superscript"/>
        </w:rPr>
        <w:t xml:space="preserve"> </w:t>
      </w:r>
      <w:proofErr w:type="gramStart"/>
      <w:r w:rsidR="0094643A" w:rsidRPr="00B26583">
        <w:rPr>
          <w:sz w:val="16"/>
          <w:szCs w:val="16"/>
        </w:rPr>
        <w:t>В</w:t>
      </w:r>
      <w:proofErr w:type="gramEnd"/>
      <w:r w:rsidR="0094643A" w:rsidRPr="00B26583">
        <w:rPr>
          <w:sz w:val="16"/>
          <w:szCs w:val="16"/>
        </w:rPr>
        <w:t xml:space="preserve"> </w:t>
      </w:r>
      <w:r w:rsidRPr="00B26583">
        <w:rPr>
          <w:sz w:val="16"/>
          <w:szCs w:val="16"/>
        </w:rPr>
        <w:t>случа</w:t>
      </w:r>
      <w:r w:rsidR="00A41C44" w:rsidRPr="00B26583">
        <w:rPr>
          <w:sz w:val="16"/>
          <w:szCs w:val="16"/>
        </w:rPr>
        <w:t xml:space="preserve">е, когда </w:t>
      </w:r>
      <w:r w:rsidR="00FF787D" w:rsidRPr="00B26583">
        <w:rPr>
          <w:sz w:val="16"/>
          <w:szCs w:val="16"/>
        </w:rPr>
        <w:t xml:space="preserve">размер </w:t>
      </w:r>
      <w:r w:rsidR="00A41C44" w:rsidRPr="00B26583">
        <w:rPr>
          <w:sz w:val="16"/>
          <w:szCs w:val="16"/>
        </w:rPr>
        <w:t>вознаграждени</w:t>
      </w:r>
      <w:r w:rsidR="00FF787D" w:rsidRPr="00B26583">
        <w:rPr>
          <w:sz w:val="16"/>
          <w:szCs w:val="16"/>
        </w:rPr>
        <w:t>я</w:t>
      </w:r>
      <w:r w:rsidR="00A41C44" w:rsidRPr="00B26583">
        <w:rPr>
          <w:sz w:val="16"/>
          <w:szCs w:val="16"/>
        </w:rPr>
        <w:t xml:space="preserve"> Брокера</w:t>
      </w:r>
      <w:r w:rsidRPr="00B26583">
        <w:rPr>
          <w:sz w:val="16"/>
          <w:szCs w:val="16"/>
        </w:rPr>
        <w:t xml:space="preserve"> составляет менее 0,01 руб. данное вознаграждение</w:t>
      </w:r>
      <w:r w:rsidR="00FF787D" w:rsidRPr="00B26583">
        <w:rPr>
          <w:sz w:val="16"/>
          <w:szCs w:val="16"/>
        </w:rPr>
        <w:t xml:space="preserve"> взима</w:t>
      </w:r>
      <w:r w:rsidR="00AD61E3" w:rsidRPr="00B26583">
        <w:rPr>
          <w:sz w:val="16"/>
          <w:szCs w:val="16"/>
        </w:rPr>
        <w:t>ется в размере, равном 0,01 руб</w:t>
      </w:r>
      <w:r w:rsidRPr="00B26583">
        <w:rPr>
          <w:sz w:val="16"/>
          <w:szCs w:val="16"/>
        </w:rPr>
        <w:t>.</w:t>
      </w:r>
      <w:r w:rsidR="00AD61E3" w:rsidRPr="00B26583">
        <w:rPr>
          <w:sz w:val="16"/>
          <w:szCs w:val="16"/>
        </w:rPr>
        <w:t xml:space="preserve">  за исключением вознаграждения </w:t>
      </w:r>
      <w:r w:rsidR="0094643A" w:rsidRPr="00B26583">
        <w:rPr>
          <w:sz w:val="16"/>
          <w:szCs w:val="16"/>
        </w:rPr>
        <w:t>Брокера,</w:t>
      </w:r>
      <w:r w:rsidR="00AD61E3" w:rsidRPr="00B26583">
        <w:rPr>
          <w:sz w:val="16"/>
          <w:szCs w:val="16"/>
        </w:rPr>
        <w:t xml:space="preserve"> </w:t>
      </w:r>
      <w:r w:rsidR="000973B1" w:rsidRPr="00B26583">
        <w:rPr>
          <w:sz w:val="16"/>
          <w:szCs w:val="16"/>
        </w:rPr>
        <w:t xml:space="preserve">взимаемого </w:t>
      </w:r>
      <w:r w:rsidR="00AD61E3" w:rsidRPr="00B26583">
        <w:rPr>
          <w:sz w:val="16"/>
          <w:szCs w:val="16"/>
        </w:rPr>
        <w:t xml:space="preserve">за операции на срочном рынке.  </w:t>
      </w:r>
    </w:p>
    <w:p w:rsidR="00841C6D" w:rsidRPr="00B26583" w:rsidRDefault="00841C6D" w:rsidP="000973B1">
      <w:pPr>
        <w:pStyle w:val="a3"/>
        <w:rPr>
          <w:b/>
          <w:bCs/>
          <w:iCs/>
          <w:sz w:val="16"/>
          <w:szCs w:val="16"/>
        </w:rPr>
      </w:pPr>
    </w:p>
    <w:p w:rsidR="00923329" w:rsidRDefault="00923329" w:rsidP="00893DC3">
      <w:pPr>
        <w:jc w:val="both"/>
        <w:rPr>
          <w:b/>
          <w:bCs/>
          <w:sz w:val="18"/>
          <w:szCs w:val="18"/>
        </w:rPr>
      </w:pPr>
      <w:r w:rsidRPr="00B26583">
        <w:rPr>
          <w:sz w:val="16"/>
          <w:szCs w:val="16"/>
          <w:vertAlign w:val="superscript"/>
        </w:rPr>
        <w:t xml:space="preserve">2 </w:t>
      </w:r>
      <w:r w:rsidRPr="00B26583">
        <w:rPr>
          <w:sz w:val="16"/>
          <w:szCs w:val="16"/>
        </w:rPr>
        <w:t>Сделки с расчётами в иностранной валюте включаются в «Размер дневного оборота» в российских рублях, по курсу Банка России, установленному на дату совершения такой сделки. Комиссионное вознаграждение Брокера по сделкам с расчетами в иностранной валюте удерживается со Счета клиента, в российских рублях, по курсу Банка России, установленному на дату совершения такой сделки.</w:t>
      </w:r>
      <w:r>
        <w:rPr>
          <w:sz w:val="16"/>
          <w:szCs w:val="16"/>
        </w:rPr>
        <w:t xml:space="preserve"> </w:t>
      </w:r>
    </w:p>
    <w:p w:rsidR="00923329" w:rsidRDefault="00923329" w:rsidP="000973B1">
      <w:pPr>
        <w:pStyle w:val="a3"/>
        <w:rPr>
          <w:b/>
          <w:bCs/>
          <w:iCs/>
          <w:sz w:val="16"/>
          <w:szCs w:val="16"/>
        </w:rPr>
      </w:pPr>
    </w:p>
    <w:p w:rsidR="00893DC3" w:rsidRPr="00AD46F4" w:rsidRDefault="00893DC3" w:rsidP="000973B1">
      <w:pPr>
        <w:pStyle w:val="a3"/>
        <w:rPr>
          <w:b/>
          <w:bCs/>
          <w:iCs/>
          <w:sz w:val="16"/>
          <w:szCs w:val="16"/>
        </w:rPr>
      </w:pPr>
    </w:p>
    <w:sectPr w:rsidR="00893DC3" w:rsidRPr="00AD46F4" w:rsidSect="00EF48B8">
      <w:headerReference w:type="default" r:id="rId13"/>
      <w:footerReference w:type="default" r:id="rId14"/>
      <w:pgSz w:w="11906" w:h="16838"/>
      <w:pgMar w:top="567" w:right="850" w:bottom="284" w:left="1276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A3F" w:rsidRDefault="00966A3F">
      <w:r>
        <w:separator/>
      </w:r>
    </w:p>
  </w:endnote>
  <w:endnote w:type="continuationSeparator" w:id="0">
    <w:p w:rsidR="00966A3F" w:rsidRDefault="00966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6CC" w:rsidRPr="00022355" w:rsidRDefault="0043008E">
    <w:pPr>
      <w:pStyle w:val="ae"/>
      <w:jc w:val="right"/>
      <w:rPr>
        <w:sz w:val="16"/>
        <w:szCs w:val="16"/>
      </w:rPr>
    </w:pPr>
    <w:r w:rsidRPr="00022355">
      <w:rPr>
        <w:sz w:val="16"/>
        <w:szCs w:val="16"/>
      </w:rPr>
      <w:fldChar w:fldCharType="begin"/>
    </w:r>
    <w:r w:rsidR="00AD26CC" w:rsidRPr="00022355">
      <w:rPr>
        <w:sz w:val="16"/>
        <w:szCs w:val="16"/>
      </w:rPr>
      <w:instrText xml:space="preserve"> PAGE   \* MERGEFORMAT </w:instrText>
    </w:r>
    <w:r w:rsidRPr="00022355">
      <w:rPr>
        <w:sz w:val="16"/>
        <w:szCs w:val="16"/>
      </w:rPr>
      <w:fldChar w:fldCharType="separate"/>
    </w:r>
    <w:r w:rsidR="00B306AF">
      <w:rPr>
        <w:noProof/>
        <w:sz w:val="16"/>
        <w:szCs w:val="16"/>
      </w:rPr>
      <w:t>4</w:t>
    </w:r>
    <w:r w:rsidRPr="00022355">
      <w:rPr>
        <w:sz w:val="16"/>
        <w:szCs w:val="16"/>
      </w:rPr>
      <w:fldChar w:fldCharType="end"/>
    </w:r>
  </w:p>
  <w:p w:rsidR="00AD26CC" w:rsidRDefault="00AD26C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A3F" w:rsidRDefault="00966A3F">
      <w:r>
        <w:separator/>
      </w:r>
    </w:p>
  </w:footnote>
  <w:footnote w:type="continuationSeparator" w:id="0">
    <w:p w:rsidR="00966A3F" w:rsidRDefault="00966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6CC" w:rsidRDefault="00AD26CC" w:rsidP="00570852">
    <w:pPr>
      <w:pStyle w:val="a3"/>
      <w:pBdr>
        <w:bottom w:val="single" w:sz="4" w:space="1" w:color="auto"/>
      </w:pBdr>
      <w:jc w:val="center"/>
      <w:rPr>
        <w:i/>
        <w:sz w:val="16"/>
      </w:rPr>
    </w:pPr>
  </w:p>
  <w:p w:rsidR="00AD26CC" w:rsidRDefault="00AD26CC" w:rsidP="00570852">
    <w:pPr>
      <w:pStyle w:val="a3"/>
      <w:pBdr>
        <w:bottom w:val="single" w:sz="4" w:space="1" w:color="auto"/>
      </w:pBdr>
      <w:jc w:val="center"/>
      <w:rPr>
        <w:i/>
        <w:sz w:val="16"/>
      </w:rPr>
    </w:pPr>
    <w:r>
      <w:rPr>
        <w:i/>
        <w:sz w:val="16"/>
      </w:rPr>
      <w:t>Публичное акционерное общество «ИНВЕСТИЦИОННАЯ КОМПАНИЯ ИК РУСС-ИНВЕСТ»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234E"/>
    <w:multiLevelType w:val="multilevel"/>
    <w:tmpl w:val="5CDA6DFE"/>
    <w:lvl w:ilvl="0">
      <w:start w:val="13"/>
      <w:numFmt w:val="decimal"/>
      <w:lvlText w:val="%1."/>
      <w:lvlJc w:val="left"/>
      <w:pPr>
        <w:ind w:left="495" w:hanging="495"/>
      </w:pPr>
      <w:rPr>
        <w:rFonts w:cs="Times New Roman" w:hint="default"/>
        <w:u w:val="single"/>
      </w:rPr>
    </w:lvl>
    <w:lvl w:ilvl="1">
      <w:start w:val="6"/>
      <w:numFmt w:val="decimal"/>
      <w:lvlText w:val="%1.%2."/>
      <w:lvlJc w:val="left"/>
      <w:pPr>
        <w:ind w:left="495" w:hanging="495"/>
      </w:pPr>
      <w:rPr>
        <w:rFonts w:cs="Times New Roman"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u w:val="singl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  <w:u w:val="single"/>
      </w:rPr>
    </w:lvl>
  </w:abstractNum>
  <w:abstractNum w:abstractNumId="1" w15:restartNumberingAfterBreak="0">
    <w:nsid w:val="031F67DB"/>
    <w:multiLevelType w:val="multilevel"/>
    <w:tmpl w:val="362A3B22"/>
    <w:lvl w:ilvl="0">
      <w:start w:val="2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5" w:hanging="4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9D31C4E"/>
    <w:multiLevelType w:val="singleLevel"/>
    <w:tmpl w:val="FF3C5E28"/>
    <w:lvl w:ilvl="0">
      <w:start w:val="7"/>
      <w:numFmt w:val="bullet"/>
      <w:lvlText w:val=""/>
      <w:lvlJc w:val="left"/>
      <w:pPr>
        <w:tabs>
          <w:tab w:val="num" w:pos="851"/>
        </w:tabs>
        <w:ind w:left="851" w:hanging="397"/>
      </w:pPr>
      <w:rPr>
        <w:rFonts w:ascii="Symbol" w:hAnsi="Symbol" w:hint="default"/>
      </w:rPr>
    </w:lvl>
  </w:abstractNum>
  <w:abstractNum w:abstractNumId="3" w15:restartNumberingAfterBreak="0">
    <w:nsid w:val="0DB0559D"/>
    <w:multiLevelType w:val="multilevel"/>
    <w:tmpl w:val="85D4A24C"/>
    <w:lvl w:ilvl="0">
      <w:start w:val="27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02" w:hanging="49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548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32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029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96" w:hanging="1440"/>
      </w:pPr>
      <w:rPr>
        <w:rFonts w:cs="Times New Roman" w:hint="default"/>
      </w:rPr>
    </w:lvl>
  </w:abstractNum>
  <w:abstractNum w:abstractNumId="4" w15:restartNumberingAfterBreak="0">
    <w:nsid w:val="0FAF62B3"/>
    <w:multiLevelType w:val="multilevel"/>
    <w:tmpl w:val="5738702E"/>
    <w:lvl w:ilvl="0">
      <w:start w:val="21"/>
      <w:numFmt w:val="decimal"/>
      <w:lvlText w:val="%1."/>
      <w:lvlJc w:val="left"/>
      <w:pPr>
        <w:ind w:left="450" w:hanging="450"/>
      </w:pPr>
    </w:lvl>
    <w:lvl w:ilvl="1">
      <w:start w:val="14"/>
      <w:numFmt w:val="decimal"/>
      <w:lvlText w:val="%1.%2."/>
      <w:lvlJc w:val="left"/>
      <w:pPr>
        <w:ind w:left="450" w:hanging="45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720" w:hanging="72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080" w:hanging="108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5" w15:restartNumberingAfterBreak="0">
    <w:nsid w:val="15AD4976"/>
    <w:multiLevelType w:val="multilevel"/>
    <w:tmpl w:val="DDC42A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78D40E0"/>
    <w:multiLevelType w:val="multilevel"/>
    <w:tmpl w:val="6E5064B6"/>
    <w:lvl w:ilvl="0">
      <w:start w:val="1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7" w15:restartNumberingAfterBreak="0">
    <w:nsid w:val="17920105"/>
    <w:multiLevelType w:val="multilevel"/>
    <w:tmpl w:val="8B68906E"/>
    <w:lvl w:ilvl="0">
      <w:start w:val="29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50" w:hanging="495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14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1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565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280" w:hanging="1440"/>
      </w:pPr>
      <w:rPr>
        <w:rFonts w:cs="Times New Roman" w:hint="default"/>
      </w:rPr>
    </w:lvl>
  </w:abstractNum>
  <w:abstractNum w:abstractNumId="8" w15:restartNumberingAfterBreak="0">
    <w:nsid w:val="20F76A1D"/>
    <w:multiLevelType w:val="hybridMultilevel"/>
    <w:tmpl w:val="724EBECA"/>
    <w:lvl w:ilvl="0" w:tplc="FFFFFFFF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 w15:restartNumberingAfterBreak="0">
    <w:nsid w:val="219A40C1"/>
    <w:multiLevelType w:val="multilevel"/>
    <w:tmpl w:val="D5F222F2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85" w:hanging="40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4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10" w15:restartNumberingAfterBreak="0">
    <w:nsid w:val="24E81D66"/>
    <w:multiLevelType w:val="multilevel"/>
    <w:tmpl w:val="53EE57CA"/>
    <w:lvl w:ilvl="0">
      <w:start w:val="1"/>
      <w:numFmt w:val="upperRoman"/>
      <w:suff w:val="space"/>
      <w:lvlText w:val="Раздел %1."/>
      <w:lvlJc w:val="left"/>
      <w:rPr>
        <w:rFonts w:ascii="Arial" w:hAnsi="Arial" w:cs="Times New Roman" w:hint="default"/>
        <w:b/>
        <w:i w:val="0"/>
        <w:caps/>
        <w:sz w:val="22"/>
      </w:rPr>
    </w:lvl>
    <w:lvl w:ilvl="1">
      <w:start w:val="1"/>
      <w:numFmt w:val="decimal"/>
      <w:lvlRestart w:val="0"/>
      <w:suff w:val="space"/>
      <w:lvlText w:val="%2."/>
      <w:lvlJc w:val="left"/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suff w:val="space"/>
      <w:lvlText w:val="%2.%3."/>
      <w:lvlJc w:val="left"/>
      <w:rPr>
        <w:rFonts w:cs="Times New Roman" w:hint="default"/>
        <w:b w:val="0"/>
        <w:i w:val="0"/>
        <w:sz w:val="20"/>
      </w:rPr>
    </w:lvl>
    <w:lvl w:ilvl="3">
      <w:start w:val="1"/>
      <w:numFmt w:val="decimal"/>
      <w:suff w:val="space"/>
      <w:lvlText w:val="%2.%3.%4"/>
      <w:lvlJc w:val="left"/>
      <w:pPr>
        <w:ind w:left="710" w:hanging="17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4">
      <w:start w:val="1"/>
      <w:numFmt w:val="decimal"/>
      <w:lvlText w:val="%2.%3.%4.%5"/>
      <w:lvlJc w:val="left"/>
      <w:pPr>
        <w:tabs>
          <w:tab w:val="num" w:pos="2540"/>
        </w:tabs>
        <w:ind w:left="2540" w:hanging="740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2.%3.%4.%5.%6"/>
      <w:lvlJc w:val="left"/>
      <w:pPr>
        <w:tabs>
          <w:tab w:val="num" w:pos="144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1" w15:restartNumberingAfterBreak="0">
    <w:nsid w:val="2542158C"/>
    <w:multiLevelType w:val="multilevel"/>
    <w:tmpl w:val="15F0E93C"/>
    <w:lvl w:ilvl="0">
      <w:start w:val="13"/>
      <w:numFmt w:val="decimal"/>
      <w:lvlText w:val="%1."/>
      <w:lvlJc w:val="left"/>
      <w:pPr>
        <w:ind w:left="600" w:hanging="600"/>
      </w:pPr>
      <w:rPr>
        <w:rFonts w:cs="Times New Roman" w:hint="default"/>
        <w:u w:val="single"/>
      </w:rPr>
    </w:lvl>
    <w:lvl w:ilvl="1">
      <w:start w:val="6"/>
      <w:numFmt w:val="decimal"/>
      <w:lvlText w:val="%1.%2."/>
      <w:lvlJc w:val="left"/>
      <w:pPr>
        <w:ind w:left="870" w:hanging="600"/>
      </w:pPr>
      <w:rPr>
        <w:rFonts w:cs="Times New Roman" w:hint="default"/>
        <w:u w:val="single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 w:hint="default"/>
        <w:u w:val="single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cs="Times New Roman" w:hint="default"/>
        <w:u w:val="single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cs="Times New Roman" w:hint="default"/>
        <w:u w:val="single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cs="Times New Roman" w:hint="default"/>
        <w:u w:val="single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cs="Times New Roman"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cs="Times New Roman"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cs="Times New Roman" w:hint="default"/>
        <w:u w:val="single"/>
      </w:rPr>
    </w:lvl>
  </w:abstractNum>
  <w:abstractNum w:abstractNumId="12" w15:restartNumberingAfterBreak="0">
    <w:nsid w:val="2E9A01D2"/>
    <w:multiLevelType w:val="hybridMultilevel"/>
    <w:tmpl w:val="FE2C7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345C30"/>
    <w:multiLevelType w:val="hybridMultilevel"/>
    <w:tmpl w:val="AFA25570"/>
    <w:lvl w:ilvl="0" w:tplc="5348761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34EC7DC4"/>
    <w:multiLevelType w:val="hybridMultilevel"/>
    <w:tmpl w:val="4F7A85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54A0B32"/>
    <w:multiLevelType w:val="multilevel"/>
    <w:tmpl w:val="53EE57CA"/>
    <w:lvl w:ilvl="0">
      <w:start w:val="1"/>
      <w:numFmt w:val="upperRoman"/>
      <w:suff w:val="space"/>
      <w:lvlText w:val="Раздел %1."/>
      <w:lvlJc w:val="left"/>
      <w:rPr>
        <w:rFonts w:ascii="Arial" w:hAnsi="Arial" w:cs="Times New Roman" w:hint="default"/>
        <w:b/>
        <w:i w:val="0"/>
        <w:caps/>
        <w:sz w:val="22"/>
      </w:rPr>
    </w:lvl>
    <w:lvl w:ilvl="1">
      <w:start w:val="1"/>
      <w:numFmt w:val="decimal"/>
      <w:lvlRestart w:val="0"/>
      <w:suff w:val="space"/>
      <w:lvlText w:val="%2."/>
      <w:lvlJc w:val="left"/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suff w:val="space"/>
      <w:lvlText w:val="%2.%3."/>
      <w:lvlJc w:val="left"/>
      <w:rPr>
        <w:rFonts w:cs="Times New Roman" w:hint="default"/>
        <w:b w:val="0"/>
        <w:i w:val="0"/>
        <w:sz w:val="20"/>
      </w:rPr>
    </w:lvl>
    <w:lvl w:ilvl="3">
      <w:start w:val="1"/>
      <w:numFmt w:val="decimal"/>
      <w:suff w:val="space"/>
      <w:lvlText w:val="%2.%3.%4"/>
      <w:lvlJc w:val="left"/>
      <w:pPr>
        <w:ind w:left="710" w:hanging="17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4">
      <w:start w:val="1"/>
      <w:numFmt w:val="decimal"/>
      <w:lvlText w:val="%2.%3.%4.%5"/>
      <w:lvlJc w:val="left"/>
      <w:pPr>
        <w:tabs>
          <w:tab w:val="num" w:pos="2540"/>
        </w:tabs>
        <w:ind w:left="2540" w:hanging="740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2.%3.%4.%5.%6"/>
      <w:lvlJc w:val="left"/>
      <w:pPr>
        <w:tabs>
          <w:tab w:val="num" w:pos="144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6" w15:restartNumberingAfterBreak="0">
    <w:nsid w:val="469A3731"/>
    <w:multiLevelType w:val="multilevel"/>
    <w:tmpl w:val="3BACA94A"/>
    <w:lvl w:ilvl="0">
      <w:start w:val="2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5" w:hanging="4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78E5DE9"/>
    <w:multiLevelType w:val="multilevel"/>
    <w:tmpl w:val="1108B58E"/>
    <w:lvl w:ilvl="0">
      <w:start w:val="21"/>
      <w:numFmt w:val="decimal"/>
      <w:lvlText w:val="%1."/>
      <w:lvlJc w:val="left"/>
      <w:pPr>
        <w:ind w:left="450" w:hanging="450"/>
      </w:pPr>
    </w:lvl>
    <w:lvl w:ilvl="1">
      <w:start w:val="18"/>
      <w:numFmt w:val="decimal"/>
      <w:lvlText w:val="%1.%2."/>
      <w:lvlJc w:val="left"/>
      <w:pPr>
        <w:ind w:left="450" w:hanging="45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720" w:hanging="72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080" w:hanging="108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8" w15:restartNumberingAfterBreak="0">
    <w:nsid w:val="49A74325"/>
    <w:multiLevelType w:val="multilevel"/>
    <w:tmpl w:val="352414B2"/>
    <w:lvl w:ilvl="0">
      <w:start w:val="27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02" w:hanging="49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548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32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029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96" w:hanging="1440"/>
      </w:pPr>
      <w:rPr>
        <w:rFonts w:cs="Times New Roman" w:hint="default"/>
      </w:rPr>
    </w:lvl>
  </w:abstractNum>
  <w:abstractNum w:abstractNumId="19" w15:restartNumberingAfterBreak="0">
    <w:nsid w:val="4E2A768C"/>
    <w:multiLevelType w:val="hybridMultilevel"/>
    <w:tmpl w:val="23060052"/>
    <w:lvl w:ilvl="0" w:tplc="A9629F4C">
      <w:start w:val="1"/>
      <w:numFmt w:val="decimal"/>
      <w:lvlText w:val="%1)"/>
      <w:lvlJc w:val="left"/>
      <w:pPr>
        <w:tabs>
          <w:tab w:val="num" w:pos="578"/>
        </w:tabs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0" w15:restartNumberingAfterBreak="0">
    <w:nsid w:val="50A6270A"/>
    <w:multiLevelType w:val="hybridMultilevel"/>
    <w:tmpl w:val="1A0A659C"/>
    <w:lvl w:ilvl="0" w:tplc="0419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41276E2"/>
    <w:multiLevelType w:val="multilevel"/>
    <w:tmpl w:val="3346511C"/>
    <w:lvl w:ilvl="0">
      <w:start w:val="27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47" w:hanging="495"/>
      </w:pPr>
      <w:rPr>
        <w:rFonts w:cs="Times New Roman" w:hint="default"/>
      </w:rPr>
    </w:lvl>
    <w:lvl w:ilvl="2">
      <w:start w:val="8"/>
      <w:numFmt w:val="decimal"/>
      <w:lvlText w:val="%1.%2.%3."/>
      <w:lvlJc w:val="left"/>
      <w:pPr>
        <w:ind w:left="14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128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9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544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256" w:hanging="1440"/>
      </w:pPr>
      <w:rPr>
        <w:rFonts w:cs="Times New Roman" w:hint="default"/>
      </w:rPr>
    </w:lvl>
  </w:abstractNum>
  <w:abstractNum w:abstractNumId="22" w15:restartNumberingAfterBreak="0">
    <w:nsid w:val="5A7746F3"/>
    <w:multiLevelType w:val="multilevel"/>
    <w:tmpl w:val="9EACB872"/>
    <w:lvl w:ilvl="0">
      <w:start w:val="13"/>
      <w:numFmt w:val="decimal"/>
      <w:lvlText w:val="%1."/>
      <w:lvlJc w:val="left"/>
      <w:pPr>
        <w:ind w:left="480" w:hanging="480"/>
      </w:pPr>
      <w:rPr>
        <w:rFonts w:cs="Times New Roman" w:hint="default"/>
        <w:sz w:val="22"/>
      </w:rPr>
    </w:lvl>
    <w:lvl w:ilvl="1">
      <w:start w:val="1"/>
      <w:numFmt w:val="decimal"/>
      <w:lvlText w:val="%2."/>
      <w:lvlJc w:val="left"/>
      <w:pPr>
        <w:ind w:left="480" w:hanging="480"/>
      </w:pPr>
      <w:rPr>
        <w:rFonts w:ascii="Times New Roman" w:eastAsia="Times New Roman" w:hAnsi="Times New Roman" w:cs="Times New Roman"/>
        <w:sz w:val="22"/>
      </w:rPr>
    </w:lvl>
    <w:lvl w:ilvl="2">
      <w:start w:val="1"/>
      <w:numFmt w:val="decimal"/>
      <w:lvlText w:val="%1.%2.%3."/>
      <w:lvlJc w:val="left"/>
      <w:pPr>
        <w:ind w:left="480" w:hanging="480"/>
      </w:pPr>
      <w:rPr>
        <w:rFonts w:cs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cs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cs="Times New Roman" w:hint="default"/>
        <w:sz w:val="22"/>
      </w:rPr>
    </w:lvl>
  </w:abstractNum>
  <w:abstractNum w:abstractNumId="23" w15:restartNumberingAfterBreak="0">
    <w:nsid w:val="5DCE6EDF"/>
    <w:multiLevelType w:val="multilevel"/>
    <w:tmpl w:val="61C07E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0957828"/>
    <w:multiLevelType w:val="multilevel"/>
    <w:tmpl w:val="DB5E3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6C04D4"/>
    <w:multiLevelType w:val="multilevel"/>
    <w:tmpl w:val="F5F0923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15" w:hanging="3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7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6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80" w:hanging="1440"/>
      </w:pPr>
      <w:rPr>
        <w:rFonts w:hint="default"/>
      </w:rPr>
    </w:lvl>
  </w:abstractNum>
  <w:abstractNum w:abstractNumId="26" w15:restartNumberingAfterBreak="0">
    <w:nsid w:val="64B962C9"/>
    <w:multiLevelType w:val="hybridMultilevel"/>
    <w:tmpl w:val="4B881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023A23"/>
    <w:multiLevelType w:val="hybridMultilevel"/>
    <w:tmpl w:val="7E02ACF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1E7D9F"/>
    <w:multiLevelType w:val="singleLevel"/>
    <w:tmpl w:val="FF3C5E28"/>
    <w:lvl w:ilvl="0">
      <w:start w:val="7"/>
      <w:numFmt w:val="bullet"/>
      <w:lvlText w:val=""/>
      <w:lvlJc w:val="left"/>
      <w:pPr>
        <w:tabs>
          <w:tab w:val="num" w:pos="851"/>
        </w:tabs>
        <w:ind w:left="851" w:hanging="397"/>
      </w:pPr>
      <w:rPr>
        <w:rFonts w:ascii="Symbol" w:hAnsi="Symbol" w:hint="default"/>
      </w:rPr>
    </w:lvl>
  </w:abstractNum>
  <w:abstractNum w:abstractNumId="29" w15:restartNumberingAfterBreak="0">
    <w:nsid w:val="797A0467"/>
    <w:multiLevelType w:val="multilevel"/>
    <w:tmpl w:val="406E12B8"/>
    <w:lvl w:ilvl="0">
      <w:start w:val="27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02" w:hanging="49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548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32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029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96" w:hanging="1440"/>
      </w:pPr>
      <w:rPr>
        <w:rFonts w:cs="Times New Roman" w:hint="default"/>
      </w:rPr>
    </w:lvl>
  </w:abstractNum>
  <w:num w:numId="1">
    <w:abstractNumId w:val="15"/>
  </w:num>
  <w:num w:numId="2">
    <w:abstractNumId w:val="11"/>
  </w:num>
  <w:num w:numId="3">
    <w:abstractNumId w:val="13"/>
  </w:num>
  <w:num w:numId="4">
    <w:abstractNumId w:val="10"/>
  </w:num>
  <w:num w:numId="5">
    <w:abstractNumId w:val="6"/>
  </w:num>
  <w:num w:numId="6">
    <w:abstractNumId w:val="0"/>
  </w:num>
  <w:num w:numId="7">
    <w:abstractNumId w:val="14"/>
  </w:num>
  <w:num w:numId="8">
    <w:abstractNumId w:val="12"/>
  </w:num>
  <w:num w:numId="9">
    <w:abstractNumId w:val="22"/>
  </w:num>
  <w:num w:numId="10">
    <w:abstractNumId w:val="7"/>
  </w:num>
  <w:num w:numId="11">
    <w:abstractNumId w:val="29"/>
  </w:num>
  <w:num w:numId="12">
    <w:abstractNumId w:val="21"/>
  </w:num>
  <w:num w:numId="13">
    <w:abstractNumId w:val="18"/>
  </w:num>
  <w:num w:numId="14">
    <w:abstractNumId w:val="3"/>
  </w:num>
  <w:num w:numId="15">
    <w:abstractNumId w:val="5"/>
  </w:num>
  <w:num w:numId="16">
    <w:abstractNumId w:val="28"/>
  </w:num>
  <w:num w:numId="17">
    <w:abstractNumId w:val="2"/>
  </w:num>
  <w:num w:numId="18">
    <w:abstractNumId w:val="4"/>
    <w:lvlOverride w:ilvl="0">
      <w:startOverride w:val="21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21"/>
    </w:lvlOverride>
    <w:lvlOverride w:ilvl="1">
      <w:startOverride w:val="1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1"/>
  </w:num>
  <w:num w:numId="22">
    <w:abstractNumId w:val="23"/>
  </w:num>
  <w:num w:numId="23">
    <w:abstractNumId w:val="9"/>
  </w:num>
  <w:num w:numId="24">
    <w:abstractNumId w:val="25"/>
  </w:num>
  <w:num w:numId="25">
    <w:abstractNumId w:val="8"/>
  </w:num>
  <w:num w:numId="26">
    <w:abstractNumId w:val="26"/>
  </w:num>
  <w:num w:numId="27">
    <w:abstractNumId w:val="24"/>
  </w:num>
  <w:num w:numId="28">
    <w:abstractNumId w:val="19"/>
  </w:num>
  <w:num w:numId="29">
    <w:abstractNumId w:val="20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F71"/>
    <w:rsid w:val="00004B80"/>
    <w:rsid w:val="000050A3"/>
    <w:rsid w:val="000054CE"/>
    <w:rsid w:val="0001312D"/>
    <w:rsid w:val="00014D6A"/>
    <w:rsid w:val="00022355"/>
    <w:rsid w:val="0002473E"/>
    <w:rsid w:val="0002774C"/>
    <w:rsid w:val="000278F6"/>
    <w:rsid w:val="00032305"/>
    <w:rsid w:val="0004396B"/>
    <w:rsid w:val="00046791"/>
    <w:rsid w:val="00047A05"/>
    <w:rsid w:val="00047EB8"/>
    <w:rsid w:val="00051519"/>
    <w:rsid w:val="0005169B"/>
    <w:rsid w:val="00051CAF"/>
    <w:rsid w:val="00051CBF"/>
    <w:rsid w:val="00054D25"/>
    <w:rsid w:val="00054EEE"/>
    <w:rsid w:val="000554BD"/>
    <w:rsid w:val="000570B7"/>
    <w:rsid w:val="0006050A"/>
    <w:rsid w:val="000621F5"/>
    <w:rsid w:val="000639C3"/>
    <w:rsid w:val="00065EBE"/>
    <w:rsid w:val="000715DA"/>
    <w:rsid w:val="00071B25"/>
    <w:rsid w:val="00085073"/>
    <w:rsid w:val="00087B65"/>
    <w:rsid w:val="00087C31"/>
    <w:rsid w:val="0009400F"/>
    <w:rsid w:val="00094B11"/>
    <w:rsid w:val="00094FDA"/>
    <w:rsid w:val="0009565E"/>
    <w:rsid w:val="000973B1"/>
    <w:rsid w:val="000A29B2"/>
    <w:rsid w:val="000A392E"/>
    <w:rsid w:val="000A5EC1"/>
    <w:rsid w:val="000B53FA"/>
    <w:rsid w:val="000B71DE"/>
    <w:rsid w:val="000C1ABB"/>
    <w:rsid w:val="000C207F"/>
    <w:rsid w:val="000C3A66"/>
    <w:rsid w:val="000C3F00"/>
    <w:rsid w:val="000D2BE3"/>
    <w:rsid w:val="000D470E"/>
    <w:rsid w:val="000D668D"/>
    <w:rsid w:val="000E3B8D"/>
    <w:rsid w:val="000E5641"/>
    <w:rsid w:val="000F203E"/>
    <w:rsid w:val="000F6183"/>
    <w:rsid w:val="000F62F8"/>
    <w:rsid w:val="00100017"/>
    <w:rsid w:val="00103CFE"/>
    <w:rsid w:val="00112B2F"/>
    <w:rsid w:val="00125644"/>
    <w:rsid w:val="0013019A"/>
    <w:rsid w:val="00131D03"/>
    <w:rsid w:val="001429DC"/>
    <w:rsid w:val="0015472F"/>
    <w:rsid w:val="001565F6"/>
    <w:rsid w:val="00156D60"/>
    <w:rsid w:val="00161E4A"/>
    <w:rsid w:val="00162377"/>
    <w:rsid w:val="00163880"/>
    <w:rsid w:val="00166F54"/>
    <w:rsid w:val="001726ED"/>
    <w:rsid w:val="00176A1A"/>
    <w:rsid w:val="00180F5D"/>
    <w:rsid w:val="001861CF"/>
    <w:rsid w:val="00186683"/>
    <w:rsid w:val="00196764"/>
    <w:rsid w:val="001B328E"/>
    <w:rsid w:val="001B5752"/>
    <w:rsid w:val="001C09FA"/>
    <w:rsid w:val="001C133C"/>
    <w:rsid w:val="001C6295"/>
    <w:rsid w:val="001D661B"/>
    <w:rsid w:val="001E07B9"/>
    <w:rsid w:val="001E14A8"/>
    <w:rsid w:val="001E494A"/>
    <w:rsid w:val="001F1B8D"/>
    <w:rsid w:val="001F370C"/>
    <w:rsid w:val="001F3788"/>
    <w:rsid w:val="001F419F"/>
    <w:rsid w:val="001F61A5"/>
    <w:rsid w:val="00200E90"/>
    <w:rsid w:val="00213248"/>
    <w:rsid w:val="002176C2"/>
    <w:rsid w:val="00217ADB"/>
    <w:rsid w:val="002273F5"/>
    <w:rsid w:val="00230F87"/>
    <w:rsid w:val="00233EF1"/>
    <w:rsid w:val="002341E7"/>
    <w:rsid w:val="002377F8"/>
    <w:rsid w:val="0024120F"/>
    <w:rsid w:val="0024312B"/>
    <w:rsid w:val="00246552"/>
    <w:rsid w:val="00246A57"/>
    <w:rsid w:val="0025412B"/>
    <w:rsid w:val="0025431E"/>
    <w:rsid w:val="002619DB"/>
    <w:rsid w:val="00263ED9"/>
    <w:rsid w:val="00264DD1"/>
    <w:rsid w:val="00264E06"/>
    <w:rsid w:val="002651C0"/>
    <w:rsid w:val="002836B4"/>
    <w:rsid w:val="0029256D"/>
    <w:rsid w:val="002950FA"/>
    <w:rsid w:val="002A4105"/>
    <w:rsid w:val="002A41DC"/>
    <w:rsid w:val="002A6C01"/>
    <w:rsid w:val="002A79CA"/>
    <w:rsid w:val="002B09C5"/>
    <w:rsid w:val="002B2421"/>
    <w:rsid w:val="002C0292"/>
    <w:rsid w:val="002C04C6"/>
    <w:rsid w:val="002C112C"/>
    <w:rsid w:val="002C36DA"/>
    <w:rsid w:val="002C51EF"/>
    <w:rsid w:val="002C73C9"/>
    <w:rsid w:val="002D02D0"/>
    <w:rsid w:val="002D08EE"/>
    <w:rsid w:val="002D1227"/>
    <w:rsid w:val="002F027F"/>
    <w:rsid w:val="002F3CCB"/>
    <w:rsid w:val="003101EA"/>
    <w:rsid w:val="003123D9"/>
    <w:rsid w:val="00315C5A"/>
    <w:rsid w:val="0031738C"/>
    <w:rsid w:val="003219E4"/>
    <w:rsid w:val="003268B7"/>
    <w:rsid w:val="00330DBE"/>
    <w:rsid w:val="003326BE"/>
    <w:rsid w:val="003330C2"/>
    <w:rsid w:val="003333D1"/>
    <w:rsid w:val="003338D2"/>
    <w:rsid w:val="00333F97"/>
    <w:rsid w:val="00344119"/>
    <w:rsid w:val="00346AF7"/>
    <w:rsid w:val="003561F4"/>
    <w:rsid w:val="00357F34"/>
    <w:rsid w:val="003672B6"/>
    <w:rsid w:val="00372B5E"/>
    <w:rsid w:val="00373AE6"/>
    <w:rsid w:val="003777A6"/>
    <w:rsid w:val="00380BBB"/>
    <w:rsid w:val="00391147"/>
    <w:rsid w:val="0039134A"/>
    <w:rsid w:val="00393F95"/>
    <w:rsid w:val="0039772F"/>
    <w:rsid w:val="003A123E"/>
    <w:rsid w:val="003A2727"/>
    <w:rsid w:val="003B49AE"/>
    <w:rsid w:val="003B4A76"/>
    <w:rsid w:val="003B4DA1"/>
    <w:rsid w:val="003B6F1A"/>
    <w:rsid w:val="003D633B"/>
    <w:rsid w:val="003D6679"/>
    <w:rsid w:val="003E00C7"/>
    <w:rsid w:val="003F2AE1"/>
    <w:rsid w:val="004024B9"/>
    <w:rsid w:val="0042106E"/>
    <w:rsid w:val="00421199"/>
    <w:rsid w:val="004260E2"/>
    <w:rsid w:val="00426291"/>
    <w:rsid w:val="0042714D"/>
    <w:rsid w:val="0043008E"/>
    <w:rsid w:val="0043466D"/>
    <w:rsid w:val="00445061"/>
    <w:rsid w:val="00447F3D"/>
    <w:rsid w:val="0045105B"/>
    <w:rsid w:val="00454881"/>
    <w:rsid w:val="00454C2E"/>
    <w:rsid w:val="00454D57"/>
    <w:rsid w:val="004611FC"/>
    <w:rsid w:val="00464E51"/>
    <w:rsid w:val="00467C8F"/>
    <w:rsid w:val="00471E1C"/>
    <w:rsid w:val="004733AC"/>
    <w:rsid w:val="0047391E"/>
    <w:rsid w:val="004745A3"/>
    <w:rsid w:val="004802F3"/>
    <w:rsid w:val="004809A5"/>
    <w:rsid w:val="004877C8"/>
    <w:rsid w:val="0049647C"/>
    <w:rsid w:val="004A07DE"/>
    <w:rsid w:val="004A6B6C"/>
    <w:rsid w:val="004A6E8B"/>
    <w:rsid w:val="004B159C"/>
    <w:rsid w:val="004B1D87"/>
    <w:rsid w:val="004C0E7E"/>
    <w:rsid w:val="004C48EE"/>
    <w:rsid w:val="004C5C2B"/>
    <w:rsid w:val="004C75C1"/>
    <w:rsid w:val="004D1DC3"/>
    <w:rsid w:val="004D3A91"/>
    <w:rsid w:val="004E3C3B"/>
    <w:rsid w:val="004E4171"/>
    <w:rsid w:val="004E4335"/>
    <w:rsid w:val="004F0602"/>
    <w:rsid w:val="004F4089"/>
    <w:rsid w:val="004F6EBC"/>
    <w:rsid w:val="00502895"/>
    <w:rsid w:val="00503BB0"/>
    <w:rsid w:val="00506040"/>
    <w:rsid w:val="00507A15"/>
    <w:rsid w:val="005108F1"/>
    <w:rsid w:val="00516CFB"/>
    <w:rsid w:val="0052162B"/>
    <w:rsid w:val="0052423A"/>
    <w:rsid w:val="005258CA"/>
    <w:rsid w:val="00525901"/>
    <w:rsid w:val="0053129D"/>
    <w:rsid w:val="00531C99"/>
    <w:rsid w:val="00533F71"/>
    <w:rsid w:val="00534056"/>
    <w:rsid w:val="00534CDD"/>
    <w:rsid w:val="00542A30"/>
    <w:rsid w:val="005543C8"/>
    <w:rsid w:val="005574CE"/>
    <w:rsid w:val="00563CB7"/>
    <w:rsid w:val="005668D1"/>
    <w:rsid w:val="00570852"/>
    <w:rsid w:val="00572D3F"/>
    <w:rsid w:val="005867F6"/>
    <w:rsid w:val="00590FEA"/>
    <w:rsid w:val="0059100B"/>
    <w:rsid w:val="00592F15"/>
    <w:rsid w:val="005B2CF7"/>
    <w:rsid w:val="005B3AB5"/>
    <w:rsid w:val="005B6C00"/>
    <w:rsid w:val="005D0C36"/>
    <w:rsid w:val="005D1BA6"/>
    <w:rsid w:val="005D323C"/>
    <w:rsid w:val="005D4FAC"/>
    <w:rsid w:val="0060221F"/>
    <w:rsid w:val="006024C5"/>
    <w:rsid w:val="00607EDB"/>
    <w:rsid w:val="006135EB"/>
    <w:rsid w:val="00614A17"/>
    <w:rsid w:val="00617043"/>
    <w:rsid w:val="00621CA0"/>
    <w:rsid w:val="00626E22"/>
    <w:rsid w:val="006423AB"/>
    <w:rsid w:val="00644522"/>
    <w:rsid w:val="00647C8B"/>
    <w:rsid w:val="00653710"/>
    <w:rsid w:val="00657745"/>
    <w:rsid w:val="00657CA6"/>
    <w:rsid w:val="00665E94"/>
    <w:rsid w:val="006717C8"/>
    <w:rsid w:val="006751F6"/>
    <w:rsid w:val="00680DB6"/>
    <w:rsid w:val="00682291"/>
    <w:rsid w:val="00682A5E"/>
    <w:rsid w:val="0069070A"/>
    <w:rsid w:val="00697F43"/>
    <w:rsid w:val="006A17C6"/>
    <w:rsid w:val="006A3809"/>
    <w:rsid w:val="006A4592"/>
    <w:rsid w:val="006B0FCA"/>
    <w:rsid w:val="006B21BB"/>
    <w:rsid w:val="006B2DE7"/>
    <w:rsid w:val="006C3384"/>
    <w:rsid w:val="006C4F47"/>
    <w:rsid w:val="006D4A61"/>
    <w:rsid w:val="006D6636"/>
    <w:rsid w:val="006E21FD"/>
    <w:rsid w:val="006E5CC1"/>
    <w:rsid w:val="006E7424"/>
    <w:rsid w:val="006F02BE"/>
    <w:rsid w:val="007074BA"/>
    <w:rsid w:val="00713040"/>
    <w:rsid w:val="007349AB"/>
    <w:rsid w:val="00735EC6"/>
    <w:rsid w:val="0073760D"/>
    <w:rsid w:val="007376AA"/>
    <w:rsid w:val="007419E4"/>
    <w:rsid w:val="007458E2"/>
    <w:rsid w:val="007461BB"/>
    <w:rsid w:val="007503F1"/>
    <w:rsid w:val="00754FD2"/>
    <w:rsid w:val="00761519"/>
    <w:rsid w:val="007668E9"/>
    <w:rsid w:val="00774EFC"/>
    <w:rsid w:val="00785F97"/>
    <w:rsid w:val="007903E5"/>
    <w:rsid w:val="007908EF"/>
    <w:rsid w:val="0079331E"/>
    <w:rsid w:val="00794931"/>
    <w:rsid w:val="007A2253"/>
    <w:rsid w:val="007A35F9"/>
    <w:rsid w:val="007B0440"/>
    <w:rsid w:val="007B6B1C"/>
    <w:rsid w:val="007C0688"/>
    <w:rsid w:val="007C1444"/>
    <w:rsid w:val="007C220B"/>
    <w:rsid w:val="007C409D"/>
    <w:rsid w:val="007C473C"/>
    <w:rsid w:val="007D06EB"/>
    <w:rsid w:val="007D12BF"/>
    <w:rsid w:val="007D1392"/>
    <w:rsid w:val="007D1673"/>
    <w:rsid w:val="007E51F9"/>
    <w:rsid w:val="007E5E46"/>
    <w:rsid w:val="007E64EE"/>
    <w:rsid w:val="00800254"/>
    <w:rsid w:val="008038A5"/>
    <w:rsid w:val="00807AFC"/>
    <w:rsid w:val="008114E4"/>
    <w:rsid w:val="00813C25"/>
    <w:rsid w:val="00814B7F"/>
    <w:rsid w:val="00817C6B"/>
    <w:rsid w:val="008275FA"/>
    <w:rsid w:val="00834F6B"/>
    <w:rsid w:val="00837AE6"/>
    <w:rsid w:val="00841C6D"/>
    <w:rsid w:val="00841CC1"/>
    <w:rsid w:val="0084290F"/>
    <w:rsid w:val="00851D9C"/>
    <w:rsid w:val="00855F60"/>
    <w:rsid w:val="008571A2"/>
    <w:rsid w:val="008603FE"/>
    <w:rsid w:val="00861D5D"/>
    <w:rsid w:val="008653B0"/>
    <w:rsid w:val="00875866"/>
    <w:rsid w:val="008854E2"/>
    <w:rsid w:val="008874C3"/>
    <w:rsid w:val="00893DC3"/>
    <w:rsid w:val="008A4B96"/>
    <w:rsid w:val="008A4D3C"/>
    <w:rsid w:val="008A4E4A"/>
    <w:rsid w:val="008A5428"/>
    <w:rsid w:val="008B3D16"/>
    <w:rsid w:val="008C1AAA"/>
    <w:rsid w:val="008E3481"/>
    <w:rsid w:val="008F137B"/>
    <w:rsid w:val="00905333"/>
    <w:rsid w:val="00916DAF"/>
    <w:rsid w:val="00921A3B"/>
    <w:rsid w:val="00922E6C"/>
    <w:rsid w:val="00923329"/>
    <w:rsid w:val="00927206"/>
    <w:rsid w:val="0093015C"/>
    <w:rsid w:val="00930E39"/>
    <w:rsid w:val="00932EAE"/>
    <w:rsid w:val="00933719"/>
    <w:rsid w:val="009366C5"/>
    <w:rsid w:val="009400CA"/>
    <w:rsid w:val="0094173F"/>
    <w:rsid w:val="00942471"/>
    <w:rsid w:val="0094643A"/>
    <w:rsid w:val="00950633"/>
    <w:rsid w:val="00953F45"/>
    <w:rsid w:val="00961E40"/>
    <w:rsid w:val="00966A3F"/>
    <w:rsid w:val="00966C3A"/>
    <w:rsid w:val="009752A6"/>
    <w:rsid w:val="009836F9"/>
    <w:rsid w:val="009839BE"/>
    <w:rsid w:val="009A1165"/>
    <w:rsid w:val="009A2162"/>
    <w:rsid w:val="009B2732"/>
    <w:rsid w:val="009B57A9"/>
    <w:rsid w:val="009B7859"/>
    <w:rsid w:val="009C324D"/>
    <w:rsid w:val="009D31B5"/>
    <w:rsid w:val="009D3F7E"/>
    <w:rsid w:val="009D3F8B"/>
    <w:rsid w:val="009D619E"/>
    <w:rsid w:val="009D6ED9"/>
    <w:rsid w:val="009E48A2"/>
    <w:rsid w:val="009F1A1D"/>
    <w:rsid w:val="009F3122"/>
    <w:rsid w:val="00A0030F"/>
    <w:rsid w:val="00A02F8C"/>
    <w:rsid w:val="00A03752"/>
    <w:rsid w:val="00A04D0E"/>
    <w:rsid w:val="00A04E20"/>
    <w:rsid w:val="00A069DD"/>
    <w:rsid w:val="00A13873"/>
    <w:rsid w:val="00A17090"/>
    <w:rsid w:val="00A22FB2"/>
    <w:rsid w:val="00A2540A"/>
    <w:rsid w:val="00A33D40"/>
    <w:rsid w:val="00A41173"/>
    <w:rsid w:val="00A413C0"/>
    <w:rsid w:val="00A41C44"/>
    <w:rsid w:val="00A42ABF"/>
    <w:rsid w:val="00A42E0E"/>
    <w:rsid w:val="00A43E70"/>
    <w:rsid w:val="00A530DF"/>
    <w:rsid w:val="00A54668"/>
    <w:rsid w:val="00A56EB0"/>
    <w:rsid w:val="00A6527D"/>
    <w:rsid w:val="00A75A9E"/>
    <w:rsid w:val="00A772E1"/>
    <w:rsid w:val="00A8104C"/>
    <w:rsid w:val="00A82400"/>
    <w:rsid w:val="00A835F1"/>
    <w:rsid w:val="00A83BE5"/>
    <w:rsid w:val="00A8647D"/>
    <w:rsid w:val="00A90783"/>
    <w:rsid w:val="00A975DD"/>
    <w:rsid w:val="00AA7AA5"/>
    <w:rsid w:val="00AB7C77"/>
    <w:rsid w:val="00AC7682"/>
    <w:rsid w:val="00AD21C3"/>
    <w:rsid w:val="00AD26CC"/>
    <w:rsid w:val="00AD5782"/>
    <w:rsid w:val="00AD61E3"/>
    <w:rsid w:val="00AD6A7E"/>
    <w:rsid w:val="00AF35B9"/>
    <w:rsid w:val="00B00CFD"/>
    <w:rsid w:val="00B01AEB"/>
    <w:rsid w:val="00B0492A"/>
    <w:rsid w:val="00B05AF4"/>
    <w:rsid w:val="00B17570"/>
    <w:rsid w:val="00B242C2"/>
    <w:rsid w:val="00B26583"/>
    <w:rsid w:val="00B306AF"/>
    <w:rsid w:val="00B316BE"/>
    <w:rsid w:val="00B3246F"/>
    <w:rsid w:val="00B331A1"/>
    <w:rsid w:val="00B40196"/>
    <w:rsid w:val="00B40F18"/>
    <w:rsid w:val="00B445DB"/>
    <w:rsid w:val="00B535EA"/>
    <w:rsid w:val="00B547C6"/>
    <w:rsid w:val="00B54C32"/>
    <w:rsid w:val="00B610D9"/>
    <w:rsid w:val="00B621A9"/>
    <w:rsid w:val="00B65379"/>
    <w:rsid w:val="00B73D90"/>
    <w:rsid w:val="00B768D3"/>
    <w:rsid w:val="00B83815"/>
    <w:rsid w:val="00B847C5"/>
    <w:rsid w:val="00B859F7"/>
    <w:rsid w:val="00B90826"/>
    <w:rsid w:val="00B92C02"/>
    <w:rsid w:val="00B953CC"/>
    <w:rsid w:val="00B96010"/>
    <w:rsid w:val="00BA58AD"/>
    <w:rsid w:val="00BB24D6"/>
    <w:rsid w:val="00BB6DCE"/>
    <w:rsid w:val="00BC1E77"/>
    <w:rsid w:val="00BC2261"/>
    <w:rsid w:val="00BD3B5B"/>
    <w:rsid w:val="00BD3BE0"/>
    <w:rsid w:val="00BE43BE"/>
    <w:rsid w:val="00BF0BE6"/>
    <w:rsid w:val="00BF3C7C"/>
    <w:rsid w:val="00C031EE"/>
    <w:rsid w:val="00C04E66"/>
    <w:rsid w:val="00C057F7"/>
    <w:rsid w:val="00C13F79"/>
    <w:rsid w:val="00C16AFD"/>
    <w:rsid w:val="00C1736F"/>
    <w:rsid w:val="00C219E3"/>
    <w:rsid w:val="00C23825"/>
    <w:rsid w:val="00C23A61"/>
    <w:rsid w:val="00C25CBA"/>
    <w:rsid w:val="00C2746A"/>
    <w:rsid w:val="00C31862"/>
    <w:rsid w:val="00C326EF"/>
    <w:rsid w:val="00C37040"/>
    <w:rsid w:val="00C6072D"/>
    <w:rsid w:val="00C62653"/>
    <w:rsid w:val="00C7266D"/>
    <w:rsid w:val="00C83AFE"/>
    <w:rsid w:val="00C9027D"/>
    <w:rsid w:val="00C94493"/>
    <w:rsid w:val="00C94E0A"/>
    <w:rsid w:val="00C9544D"/>
    <w:rsid w:val="00CA0B6A"/>
    <w:rsid w:val="00CA2A75"/>
    <w:rsid w:val="00CA341A"/>
    <w:rsid w:val="00CA75E2"/>
    <w:rsid w:val="00CB36BF"/>
    <w:rsid w:val="00CB3803"/>
    <w:rsid w:val="00CB52F6"/>
    <w:rsid w:val="00CC146B"/>
    <w:rsid w:val="00CC23D8"/>
    <w:rsid w:val="00CC29E5"/>
    <w:rsid w:val="00CC302E"/>
    <w:rsid w:val="00CD124D"/>
    <w:rsid w:val="00CD3DC9"/>
    <w:rsid w:val="00CD737A"/>
    <w:rsid w:val="00CE5C9C"/>
    <w:rsid w:val="00CE75DA"/>
    <w:rsid w:val="00CE7FC9"/>
    <w:rsid w:val="00CF0B33"/>
    <w:rsid w:val="00CF1047"/>
    <w:rsid w:val="00CF48C6"/>
    <w:rsid w:val="00D0206D"/>
    <w:rsid w:val="00D075A5"/>
    <w:rsid w:val="00D075E8"/>
    <w:rsid w:val="00D10DB5"/>
    <w:rsid w:val="00D165F4"/>
    <w:rsid w:val="00D249DB"/>
    <w:rsid w:val="00D263B7"/>
    <w:rsid w:val="00D33EC4"/>
    <w:rsid w:val="00D36FA6"/>
    <w:rsid w:val="00D426AA"/>
    <w:rsid w:val="00D459EA"/>
    <w:rsid w:val="00D45A7B"/>
    <w:rsid w:val="00D50F0B"/>
    <w:rsid w:val="00D5626D"/>
    <w:rsid w:val="00D62604"/>
    <w:rsid w:val="00D73052"/>
    <w:rsid w:val="00D76801"/>
    <w:rsid w:val="00D80A03"/>
    <w:rsid w:val="00D80B62"/>
    <w:rsid w:val="00D81D5C"/>
    <w:rsid w:val="00D83EBC"/>
    <w:rsid w:val="00D86669"/>
    <w:rsid w:val="00D8732C"/>
    <w:rsid w:val="00D91D9D"/>
    <w:rsid w:val="00D92328"/>
    <w:rsid w:val="00D929DC"/>
    <w:rsid w:val="00D9355D"/>
    <w:rsid w:val="00D94380"/>
    <w:rsid w:val="00D9729B"/>
    <w:rsid w:val="00D97A15"/>
    <w:rsid w:val="00D97E27"/>
    <w:rsid w:val="00DA198C"/>
    <w:rsid w:val="00DA6DC7"/>
    <w:rsid w:val="00DB3E71"/>
    <w:rsid w:val="00DB6F4E"/>
    <w:rsid w:val="00DC075B"/>
    <w:rsid w:val="00DC3F37"/>
    <w:rsid w:val="00DD4206"/>
    <w:rsid w:val="00DF037E"/>
    <w:rsid w:val="00DF2AD1"/>
    <w:rsid w:val="00DF620D"/>
    <w:rsid w:val="00DF6401"/>
    <w:rsid w:val="00E030E7"/>
    <w:rsid w:val="00E0327D"/>
    <w:rsid w:val="00E076BD"/>
    <w:rsid w:val="00E17E16"/>
    <w:rsid w:val="00E21371"/>
    <w:rsid w:val="00E25732"/>
    <w:rsid w:val="00E25D45"/>
    <w:rsid w:val="00E25F77"/>
    <w:rsid w:val="00E34BBD"/>
    <w:rsid w:val="00E371D5"/>
    <w:rsid w:val="00E41851"/>
    <w:rsid w:val="00E4548B"/>
    <w:rsid w:val="00E46D53"/>
    <w:rsid w:val="00E4795B"/>
    <w:rsid w:val="00E5215E"/>
    <w:rsid w:val="00E534DD"/>
    <w:rsid w:val="00E5678F"/>
    <w:rsid w:val="00E56C6A"/>
    <w:rsid w:val="00E619E6"/>
    <w:rsid w:val="00E6436F"/>
    <w:rsid w:val="00E64E5B"/>
    <w:rsid w:val="00E65E77"/>
    <w:rsid w:val="00E70BD6"/>
    <w:rsid w:val="00E721A4"/>
    <w:rsid w:val="00E75CC9"/>
    <w:rsid w:val="00E76A29"/>
    <w:rsid w:val="00E8141F"/>
    <w:rsid w:val="00E82255"/>
    <w:rsid w:val="00E82750"/>
    <w:rsid w:val="00E84587"/>
    <w:rsid w:val="00E849C2"/>
    <w:rsid w:val="00E85EDF"/>
    <w:rsid w:val="00E90BD3"/>
    <w:rsid w:val="00EA2452"/>
    <w:rsid w:val="00EA356C"/>
    <w:rsid w:val="00EA5268"/>
    <w:rsid w:val="00EA61AE"/>
    <w:rsid w:val="00EB28D2"/>
    <w:rsid w:val="00EB4582"/>
    <w:rsid w:val="00EB4E75"/>
    <w:rsid w:val="00EC48DD"/>
    <w:rsid w:val="00EC5C3E"/>
    <w:rsid w:val="00EC723F"/>
    <w:rsid w:val="00EC7EBC"/>
    <w:rsid w:val="00ED0419"/>
    <w:rsid w:val="00EE24F1"/>
    <w:rsid w:val="00EE2E63"/>
    <w:rsid w:val="00EE3E7B"/>
    <w:rsid w:val="00EE6D1A"/>
    <w:rsid w:val="00EE6D3D"/>
    <w:rsid w:val="00EF18B6"/>
    <w:rsid w:val="00EF1D29"/>
    <w:rsid w:val="00EF2D79"/>
    <w:rsid w:val="00EF48B8"/>
    <w:rsid w:val="00F07AC7"/>
    <w:rsid w:val="00F07CD3"/>
    <w:rsid w:val="00F07E1D"/>
    <w:rsid w:val="00F30507"/>
    <w:rsid w:val="00F328D4"/>
    <w:rsid w:val="00F34538"/>
    <w:rsid w:val="00F357C8"/>
    <w:rsid w:val="00F50B44"/>
    <w:rsid w:val="00F531AA"/>
    <w:rsid w:val="00F54F99"/>
    <w:rsid w:val="00F62342"/>
    <w:rsid w:val="00F6296D"/>
    <w:rsid w:val="00F64D10"/>
    <w:rsid w:val="00F71565"/>
    <w:rsid w:val="00F7371D"/>
    <w:rsid w:val="00F77393"/>
    <w:rsid w:val="00F94029"/>
    <w:rsid w:val="00FA188E"/>
    <w:rsid w:val="00FA311A"/>
    <w:rsid w:val="00FB4488"/>
    <w:rsid w:val="00FB5281"/>
    <w:rsid w:val="00FC2FB2"/>
    <w:rsid w:val="00FC504A"/>
    <w:rsid w:val="00FD4B29"/>
    <w:rsid w:val="00FD6F3B"/>
    <w:rsid w:val="00FD7E86"/>
    <w:rsid w:val="00FE4ECA"/>
    <w:rsid w:val="00FE5F71"/>
    <w:rsid w:val="00FF007A"/>
    <w:rsid w:val="00FF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F57789-6C29-4463-882D-CE858CC29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F71"/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6C4F47"/>
    <w:pPr>
      <w:keepNext/>
      <w:jc w:val="center"/>
      <w:outlineLvl w:val="1"/>
    </w:pPr>
    <w:rPr>
      <w:rFonts w:ascii="Arial" w:hAnsi="Arial"/>
      <w:b/>
      <w:bCs/>
      <w:sz w:val="20"/>
      <w:szCs w:val="20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6C4F47"/>
    <w:rPr>
      <w:rFonts w:ascii="Arial" w:hAnsi="Arial" w:cs="Times New Roman"/>
      <w:b/>
      <w:bCs/>
      <w:sz w:val="20"/>
      <w:szCs w:val="20"/>
      <w:lang w:val="en-GB"/>
    </w:rPr>
  </w:style>
  <w:style w:type="paragraph" w:styleId="a3">
    <w:name w:val="Body Text"/>
    <w:basedOn w:val="a"/>
    <w:link w:val="a4"/>
    <w:uiPriority w:val="99"/>
    <w:rsid w:val="00533F71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533F71"/>
    <w:rPr>
      <w:rFonts w:ascii="Arial" w:hAnsi="Arial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B610D9"/>
    <w:pPr>
      <w:ind w:left="720"/>
      <w:contextualSpacing/>
    </w:pPr>
  </w:style>
  <w:style w:type="character" w:styleId="a6">
    <w:name w:val="Hyperlink"/>
    <w:basedOn w:val="a0"/>
    <w:uiPriority w:val="99"/>
    <w:rsid w:val="006C4F47"/>
    <w:rPr>
      <w:rFonts w:cs="Times New Roman"/>
      <w:color w:val="0000FF"/>
      <w:u w:val="single"/>
    </w:rPr>
  </w:style>
  <w:style w:type="paragraph" w:styleId="a7">
    <w:name w:val="footnote text"/>
    <w:basedOn w:val="a"/>
    <w:link w:val="a8"/>
    <w:uiPriority w:val="99"/>
    <w:semiHidden/>
    <w:rsid w:val="000C3A66"/>
    <w:rPr>
      <w:sz w:val="20"/>
      <w:szCs w:val="20"/>
      <w:lang w:val="en-US" w:eastAsia="en-US"/>
    </w:rPr>
  </w:style>
  <w:style w:type="character" w:customStyle="1" w:styleId="a8">
    <w:name w:val="Текст сноски Знак"/>
    <w:basedOn w:val="a0"/>
    <w:link w:val="a7"/>
    <w:uiPriority w:val="99"/>
    <w:semiHidden/>
    <w:locked/>
    <w:rsid w:val="000C3A66"/>
    <w:rPr>
      <w:rFonts w:cs="Times New Roman"/>
      <w:lang w:val="en-US" w:eastAsia="en-US" w:bidi="ar-SA"/>
    </w:rPr>
  </w:style>
  <w:style w:type="character" w:styleId="a9">
    <w:name w:val="footnote reference"/>
    <w:basedOn w:val="a0"/>
    <w:uiPriority w:val="99"/>
    <w:semiHidden/>
    <w:rsid w:val="000C3A66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rsid w:val="00E25F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E25F7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semiHidden/>
    <w:rsid w:val="000B53F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sid w:val="000B53FA"/>
    <w:rPr>
      <w:rFonts w:ascii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rsid w:val="000B53F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0B53FA"/>
    <w:rPr>
      <w:rFonts w:ascii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rsid w:val="007668E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668E9"/>
    <w:rPr>
      <w:rFonts w:ascii="Times New Roman" w:hAnsi="Times New Roman" w:cs="Times New Roman"/>
      <w:sz w:val="16"/>
      <w:szCs w:val="16"/>
    </w:rPr>
  </w:style>
  <w:style w:type="paragraph" w:customStyle="1" w:styleId="ConsNormal">
    <w:name w:val="ConsNormal"/>
    <w:rsid w:val="00EA356C"/>
    <w:pPr>
      <w:ind w:firstLine="720"/>
    </w:pPr>
    <w:rPr>
      <w:rFonts w:ascii="Arial" w:hAnsi="Arial" w:cs="Times New Roman"/>
      <w:snapToGrid w:val="0"/>
    </w:rPr>
  </w:style>
  <w:style w:type="paragraph" w:customStyle="1" w:styleId="af0">
    <w:name w:val="текст в таблице"/>
    <w:basedOn w:val="a"/>
    <w:rsid w:val="00EA356C"/>
    <w:pPr>
      <w:widowControl w:val="0"/>
    </w:pPr>
    <w:rPr>
      <w:rFonts w:ascii="Arial" w:hAnsi="Arial"/>
      <w:caps/>
      <w:sz w:val="12"/>
      <w:szCs w:val="20"/>
    </w:rPr>
  </w:style>
  <w:style w:type="paragraph" w:customStyle="1" w:styleId="af1">
    <w:name w:val="Вид документа"/>
    <w:basedOn w:val="a"/>
    <w:rsid w:val="00EA356C"/>
    <w:pPr>
      <w:widowControl w:val="0"/>
      <w:jc w:val="center"/>
    </w:pPr>
    <w:rPr>
      <w:rFonts w:ascii="Arial" w:hAnsi="Arial"/>
      <w:b/>
      <w:caps/>
      <w:sz w:val="28"/>
      <w:szCs w:val="20"/>
    </w:rPr>
  </w:style>
  <w:style w:type="paragraph" w:customStyle="1" w:styleId="af2">
    <w:name w:val="Текстовый"/>
    <w:rsid w:val="00D249DB"/>
    <w:pPr>
      <w:widowControl w:val="0"/>
      <w:jc w:val="both"/>
    </w:pPr>
    <w:rPr>
      <w:rFonts w:ascii="Arial" w:hAnsi="Arial" w:cs="Times New Roman"/>
    </w:rPr>
  </w:style>
  <w:style w:type="paragraph" w:customStyle="1" w:styleId="Default">
    <w:name w:val="Default"/>
    <w:rsid w:val="00CA2A7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3">
    <w:name w:val="Normal (Web)"/>
    <w:basedOn w:val="a"/>
    <w:uiPriority w:val="99"/>
    <w:unhideWhenUsed/>
    <w:rsid w:val="00A8647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B3AB5"/>
  </w:style>
  <w:style w:type="paragraph" w:customStyle="1" w:styleId="Iauiue">
    <w:name w:val="Iau?iue"/>
    <w:rsid w:val="00246A57"/>
    <w:pPr>
      <w:widowControl w:val="0"/>
      <w:overflowPunct w:val="0"/>
      <w:autoSpaceDE w:val="0"/>
      <w:autoSpaceDN w:val="0"/>
      <w:adjustRightInd w:val="0"/>
      <w:ind w:left="426"/>
      <w:textAlignment w:val="baseline"/>
    </w:pPr>
    <w:rPr>
      <w:rFonts w:ascii="Times New Roman" w:hAnsi="Times New Roman" w:cs="Times New Roman"/>
      <w:sz w:val="24"/>
      <w:lang w:val="en-US" w:eastAsia="en-US"/>
    </w:rPr>
  </w:style>
  <w:style w:type="paragraph" w:customStyle="1" w:styleId="af4">
    <w:name w:val="Îáû÷íûé"/>
    <w:rsid w:val="00246A5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lang w:eastAsia="en-US"/>
    </w:rPr>
  </w:style>
  <w:style w:type="paragraph" w:customStyle="1" w:styleId="Myusual">
    <w:name w:val="My usual"/>
    <w:basedOn w:val="af4"/>
    <w:uiPriority w:val="99"/>
    <w:rsid w:val="00246A57"/>
    <w:pPr>
      <w:tabs>
        <w:tab w:val="left" w:pos="709"/>
      </w:tabs>
      <w:spacing w:before="120"/>
      <w:ind w:firstLine="851"/>
      <w:jc w:val="both"/>
    </w:pPr>
    <w:rPr>
      <w:sz w:val="24"/>
    </w:rPr>
  </w:style>
  <w:style w:type="paragraph" w:styleId="af5">
    <w:name w:val="endnote text"/>
    <w:basedOn w:val="a"/>
    <w:link w:val="af6"/>
    <w:uiPriority w:val="99"/>
    <w:semiHidden/>
    <w:rsid w:val="00246A57"/>
    <w:pPr>
      <w:tabs>
        <w:tab w:val="left" w:pos="709"/>
      </w:tabs>
      <w:autoSpaceDE w:val="0"/>
      <w:autoSpaceDN w:val="0"/>
      <w:spacing w:before="120"/>
      <w:ind w:left="113" w:hanging="113"/>
    </w:pPr>
    <w:rPr>
      <w:sz w:val="20"/>
      <w:szCs w:val="20"/>
      <w:lang w:eastAsia="en-US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246A57"/>
    <w:rPr>
      <w:rFonts w:ascii="Times New Roman" w:hAnsi="Times New Roman" w:cs="Times New Roman"/>
      <w:lang w:eastAsia="en-US"/>
    </w:rPr>
  </w:style>
  <w:style w:type="character" w:styleId="af7">
    <w:name w:val="endnote reference"/>
    <w:semiHidden/>
    <w:rsid w:val="00246A57"/>
    <w:rPr>
      <w:rFonts w:ascii="Times New Roman" w:hAnsi="Times New Roman" w:cs="Times New Roman"/>
      <w:b/>
      <w:bCs/>
      <w:sz w:val="20"/>
      <w:szCs w:val="20"/>
      <w:vertAlign w:val="superscript"/>
    </w:rPr>
  </w:style>
  <w:style w:type="character" w:styleId="af8">
    <w:name w:val="FollowedHyperlink"/>
    <w:basedOn w:val="a0"/>
    <w:uiPriority w:val="99"/>
    <w:semiHidden/>
    <w:unhideWhenUsed/>
    <w:rsid w:val="001B57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ex.com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aiffeisen.ru/corporate/tariffs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sd.ru/tariff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russ-invest.com/investment/depositarium/tariff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ex.com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91C251-B682-444F-AFE1-7A7D0D87E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2612</Words>
  <Characters>16212</Characters>
  <Application>Microsoft Office Word</Application>
  <DocSecurity>0</DocSecurity>
  <Lines>135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№ _________</vt:lpstr>
    </vt:vector>
  </TitlesOfParts>
  <Company>Russ-Invest</Company>
  <LinksUpToDate>false</LinksUpToDate>
  <CharactersWithSpaces>18787</CharactersWithSpaces>
  <SharedDoc>false</SharedDoc>
  <HLinks>
    <vt:vector size="18" baseType="variant">
      <vt:variant>
        <vt:i4>65629</vt:i4>
      </vt:variant>
      <vt:variant>
        <vt:i4>6</vt:i4>
      </vt:variant>
      <vt:variant>
        <vt:i4>0</vt:i4>
      </vt:variant>
      <vt:variant>
        <vt:i4>5</vt:i4>
      </vt:variant>
      <vt:variant>
        <vt:lpwstr>http://www.rts.micex.ru/</vt:lpwstr>
      </vt:variant>
      <vt:variant>
        <vt:lpwstr/>
      </vt:variant>
      <vt:variant>
        <vt:i4>6619248</vt:i4>
      </vt:variant>
      <vt:variant>
        <vt:i4>3</vt:i4>
      </vt:variant>
      <vt:variant>
        <vt:i4>0</vt:i4>
      </vt:variant>
      <vt:variant>
        <vt:i4>5</vt:i4>
      </vt:variant>
      <vt:variant>
        <vt:lpwstr>http://www.nkcbank.ru/viewCatalog.do?menuKey=58</vt:lpwstr>
      </vt:variant>
      <vt:variant>
        <vt:lpwstr/>
      </vt:variant>
      <vt:variant>
        <vt:i4>131140</vt:i4>
      </vt:variant>
      <vt:variant>
        <vt:i4>0</vt:i4>
      </vt:variant>
      <vt:variant>
        <vt:i4>0</vt:i4>
      </vt:variant>
      <vt:variant>
        <vt:i4>5</vt:i4>
      </vt:variant>
      <vt:variant>
        <vt:lpwstr>http://rts.micex.ru/s132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№ _________</dc:title>
  <dc:creator>ekirichenko</dc:creator>
  <cp:lastModifiedBy>Grodnikova Oksana</cp:lastModifiedBy>
  <cp:revision>8</cp:revision>
  <cp:lastPrinted>2024-09-23T13:31:00Z</cp:lastPrinted>
  <dcterms:created xsi:type="dcterms:W3CDTF">2024-09-23T13:35:00Z</dcterms:created>
  <dcterms:modified xsi:type="dcterms:W3CDTF">2024-12-09T09:57:00Z</dcterms:modified>
</cp:coreProperties>
</file>